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r>
        <w:rPr>
          <w:rFonts w:hint="eastAsia" w:ascii="宋体" w:hAnsi="宋体" w:cs="宋体"/>
          <w:b/>
          <w:color w:val="auto"/>
          <w:sz w:val="32"/>
          <w:szCs w:val="32"/>
          <w:highlight w:val="none"/>
        </w:rPr>
        <w:t>采购人需求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一、项目具体要求</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（一）人员及设备保障方面：</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1、提供应用于本项目的组织、人员保障，岗位设置情况：专职管理人员、保洁消毒员不少于16名。中餐11:30-12:15、晚餐17:00-17:45期间上岗率不得低于90%。</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项目负责人（专职管理人员）1人：50周岁以下，男女不限，具有本科及以上学历证书；2年及以上学校类物业管理经验；责任心强、沟通协调能力和执行力强。是否需要设置其它专职管理岗由投标人自行确定，</w:t>
      </w:r>
      <w:bookmarkStart w:id="0" w:name="_GoBack"/>
      <w:bookmarkEnd w:id="0"/>
      <w:r>
        <w:rPr>
          <w:rFonts w:hint="eastAsia" w:ascii="宋体" w:hAnsi="宋体" w:cs="宋体"/>
          <w:color w:val="auto"/>
          <w:sz w:val="24"/>
          <w:highlight w:val="none"/>
        </w:rPr>
        <w:t>但基本条件需满足关于项目负责人的条件要求。</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基层员工：保洁消毒员，要求身体健康，具有初中及以上学历，年龄控制在55周岁以下，具有1年以上保洁消毒工作经验，会熟练使用洗地机、清洗机、尘推车等现代化清洁工具，会安全使用各类清洗剂、消毒剂等，能操作洗消设备。</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（3）所有人员均要求提供无犯罪记录及健康证；疫情防控期间按学校要求提供相关证明。</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投标人要保证工作人员的稳定，年流动率（全年离职总人数/投标设岗编制人数）不能超过50%。聘用的所有人员必须政治可靠，家庭住址详实，个人资料齐全、留有备案。制定完整、有效的内部管理制度,各岗位工作计划、工作流程、业务培训等资料健全，上岗时必须按岗位要求统一制服、佩戴工作牌，服装整洁、妆容朴素大方，服务言行规范。</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投标人必须接受招标人监督和管理，所有配置的服务人员需定岗、定位、定人，招标人将随时检查人员配置、出勤和服务质量等情况；投标人须在投标文件中提交本项目负责人的详细资料，该资料必须真实，且未经招标人同意不得更换，否则招标人有权采取相应措施，并终止合同。</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3、要求投标人自有用于室内、外保洁工作的大型机械设备，包含但不限于洗地机、吸尘吸水机、清雪机等，开标时提供设备投入计划，书面承诺中标后上述硬件设备需驻校使用。投标人需将清洁整理车、消耗材料、工具等配备齐全，招标人负责负责提供餐具消毒、卫生清洁所需的洗涤剂。</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4、费用报价中列明的人员工资必须符合政府相关规定及按国家规定计取相关法定规费，按年予以计取，并在报价中明确法定税费、利润等支出。</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5、学校重大活动期间需按照招标人要求另行提供人力和设备启动应急预案完成服务任务。招标人支付设备运费及人工费用（按地方政府规定的最低工资标准折算人员费用）。</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以上基本要求，须投标人提供完全满足采购需求的合理分项费用测算，否则按未响应招标文件予以处理。</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（二）技术服务方面：</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1、要求提供完整、有针对性和可操作性的管理制度和服务验收标准、管理规范。</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2、要求提供完整、有针对性和可操作性的保洁管理方案。</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3、要求提供科学、合理具可操作性的各类突发事件应急预案。</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4、供应商提供末端系统信息化管理方案，拥有自享网络终端服务平台。</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（三）其他注意事项：</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1、投标人的员工在工作期间发生工伤事故全部费用由投标人自行承担，投标人应与劳动者签订相关协议，并办理合法用工手续。如因用工不当造成损失由投标人承担。</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投标人应根据招标人通知的时间做好进场服务准备，费用结算以实际进场时间为准。</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投标人在中标后不得将业务转包他人，一经发现，招标人有权终止合同，同时扣除履约保证金。由此引发的一切后果由中标人承担。</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4、投标人在中标后应缴纳中标总价的3%的履约保证金，不计利息，如中标人在合同期内未违反相关要求，招标人将在合同期满予以返还。</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二、采购数量及预算</w:t>
      </w:r>
    </w:p>
    <w:p>
      <w:pPr>
        <w:pStyle w:val="24"/>
        <w:spacing w:line="360" w:lineRule="auto"/>
        <w:ind w:firstLine="480"/>
        <w:rPr>
          <w:rFonts w:ascii="宋体" w:hAnsi="宋体" w:cs="宋体"/>
          <w:color w:val="auto"/>
          <w:sz w:val="24"/>
          <w:highlight w:val="none"/>
        </w:rPr>
      </w:pPr>
      <w:r>
        <w:rPr>
          <w:rFonts w:hint="eastAsia" w:ascii="宋体" w:hAnsi="宋体" w:cs="宋体"/>
          <w:color w:val="auto"/>
          <w:sz w:val="24"/>
          <w:highlight w:val="none"/>
        </w:rPr>
        <w:t>哈尔滨工业大学后勤集团饮食中心科学园南苑餐厅，餐厅保洁面积3945平方米，可提供就餐座位数为1377个, 共有餐具回收处3处，消毒间2间，滚梯4部。现有人员编制16个，预算约为65.8万元/年（已包含管理费、税金）。</w:t>
      </w:r>
    </w:p>
    <w:p>
      <w:pPr>
        <w:pStyle w:val="24"/>
        <w:numPr>
          <w:ilvl w:val="0"/>
          <w:numId w:val="3"/>
        </w:numPr>
        <w:spacing w:line="360" w:lineRule="auto"/>
        <w:ind w:firstLineChars="0"/>
        <w:rPr>
          <w:color w:val="auto"/>
          <w:sz w:val="24"/>
          <w:highlight w:val="none"/>
        </w:rPr>
      </w:pPr>
      <w:r>
        <w:rPr>
          <w:rFonts w:hint="eastAsia" w:ascii="宋体" w:hAnsi="宋体" w:cs="宋体"/>
          <w:b/>
          <w:color w:val="auto"/>
          <w:sz w:val="24"/>
          <w:highlight w:val="none"/>
        </w:rPr>
        <w:t>场地名称</w:t>
      </w:r>
    </w:p>
    <w:tbl>
      <w:tblPr>
        <w:tblStyle w:val="16"/>
        <w:tblpPr w:leftFromText="180" w:rightFromText="180" w:vertAnchor="text" w:horzAnchor="page" w:tblpX="1818" w:tblpY="245"/>
        <w:tblOverlap w:val="never"/>
        <w:tblW w:w="9116" w:type="dxa"/>
        <w:tblCellSpacing w:w="0" w:type="dxa"/>
        <w:tblInd w:w="0" w:type="dxa"/>
        <w:tblLayout w:type="autofit"/>
        <w:tblCellMar>
          <w:top w:w="0" w:type="dxa"/>
          <w:left w:w="0" w:type="dxa"/>
          <w:bottom w:w="0" w:type="dxa"/>
          <w:right w:w="0" w:type="dxa"/>
        </w:tblCellMar>
      </w:tblPr>
      <w:tblGrid>
        <w:gridCol w:w="1230"/>
        <w:gridCol w:w="2012"/>
        <w:gridCol w:w="1559"/>
        <w:gridCol w:w="1990"/>
        <w:gridCol w:w="2325"/>
      </w:tblGrid>
      <w:tr>
        <w:tblPrEx>
          <w:tblCellMar>
            <w:top w:w="0" w:type="dxa"/>
            <w:left w:w="0" w:type="dxa"/>
            <w:bottom w:w="0" w:type="dxa"/>
            <w:right w:w="0" w:type="dxa"/>
          </w:tblCellMar>
        </w:tblPrEx>
        <w:trPr>
          <w:trHeight w:val="663" w:hRule="atLeast"/>
          <w:tblCellSpacing w:w="0" w:type="dxa"/>
        </w:trPr>
        <w:tc>
          <w:tcPr>
            <w:tcW w:w="1230"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color w:val="auto"/>
                <w:highlight w:val="none"/>
              </w:rPr>
            </w:pPr>
            <w:r>
              <w:rPr>
                <w:rFonts w:hint="eastAsia"/>
                <w:b/>
                <w:bCs/>
                <w:color w:val="auto"/>
                <w:highlight w:val="none"/>
              </w:rPr>
              <w:t>楼 宇</w:t>
            </w:r>
          </w:p>
        </w:tc>
        <w:tc>
          <w:tcPr>
            <w:tcW w:w="2012"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color w:val="auto"/>
                <w:highlight w:val="none"/>
              </w:rPr>
            </w:pPr>
            <w:r>
              <w:rPr>
                <w:rFonts w:hint="eastAsia"/>
                <w:b/>
                <w:bCs/>
                <w:color w:val="auto"/>
                <w:highlight w:val="none"/>
              </w:rPr>
              <w:t>餐 厅</w:t>
            </w:r>
          </w:p>
        </w:tc>
        <w:tc>
          <w:tcPr>
            <w:tcW w:w="1559"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color w:val="auto"/>
                <w:highlight w:val="none"/>
              </w:rPr>
            </w:pPr>
            <w:r>
              <w:rPr>
                <w:rFonts w:hint="eastAsia"/>
                <w:b/>
                <w:bCs/>
                <w:color w:val="auto"/>
                <w:highlight w:val="none"/>
              </w:rPr>
              <w:t>现有座位数       （个）</w:t>
            </w:r>
          </w:p>
        </w:tc>
        <w:tc>
          <w:tcPr>
            <w:tcW w:w="1990"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color w:val="auto"/>
                <w:highlight w:val="none"/>
              </w:rPr>
            </w:pPr>
            <w:r>
              <w:rPr>
                <w:rFonts w:hint="eastAsia"/>
                <w:b/>
                <w:bCs/>
                <w:color w:val="auto"/>
                <w:highlight w:val="none"/>
              </w:rPr>
              <w:t>保洁面积（平方米）</w:t>
            </w:r>
          </w:p>
        </w:tc>
        <w:tc>
          <w:tcPr>
            <w:tcW w:w="2325" w:type="dxa"/>
            <w:tcBorders>
              <w:top w:val="single" w:color="080000" w:sz="6" w:space="0"/>
              <w:left w:val="single" w:color="080000" w:sz="6" w:space="0"/>
              <w:bottom w:val="single" w:color="080000" w:sz="6" w:space="0"/>
              <w:right w:val="single" w:color="080000" w:sz="6" w:space="0"/>
            </w:tcBorders>
            <w:vAlign w:val="center"/>
          </w:tcPr>
          <w:p>
            <w:pPr>
              <w:pStyle w:val="14"/>
              <w:spacing w:line="360" w:lineRule="auto"/>
              <w:jc w:val="center"/>
              <w:rPr>
                <w:color w:val="auto"/>
                <w:highlight w:val="none"/>
              </w:rPr>
            </w:pPr>
            <w:r>
              <w:rPr>
                <w:rFonts w:hint="eastAsia"/>
                <w:b/>
                <w:bCs/>
                <w:color w:val="auto"/>
                <w:highlight w:val="none"/>
              </w:rPr>
              <w:t>开餐时间</w:t>
            </w:r>
          </w:p>
        </w:tc>
      </w:tr>
      <w:tr>
        <w:tblPrEx>
          <w:tblCellMar>
            <w:top w:w="0" w:type="dxa"/>
            <w:left w:w="0" w:type="dxa"/>
            <w:bottom w:w="0" w:type="dxa"/>
            <w:right w:w="0" w:type="dxa"/>
          </w:tblCellMar>
        </w:tblPrEx>
        <w:trPr>
          <w:trHeight w:val="663" w:hRule="atLeast"/>
          <w:tblCellSpacing w:w="0" w:type="dxa"/>
        </w:trPr>
        <w:tc>
          <w:tcPr>
            <w:tcW w:w="1230" w:type="dxa"/>
            <w:vMerge w:val="restar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南苑楼</w:t>
            </w:r>
          </w:p>
        </w:tc>
        <w:tc>
          <w:tcPr>
            <w:tcW w:w="2012"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一楼大伙</w:t>
            </w:r>
          </w:p>
        </w:tc>
        <w:tc>
          <w:tcPr>
            <w:tcW w:w="1559"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 xml:space="preserve">528（440） </w:t>
            </w:r>
          </w:p>
        </w:tc>
        <w:tc>
          <w:tcPr>
            <w:tcW w:w="1990"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 xml:space="preserve">1158.01 </w:t>
            </w:r>
          </w:p>
        </w:tc>
        <w:tc>
          <w:tcPr>
            <w:tcW w:w="2325" w:type="dxa"/>
            <w:tcBorders>
              <w:top w:val="single" w:color="080000" w:sz="6" w:space="0"/>
              <w:left w:val="single" w:color="080000" w:sz="6" w:space="0"/>
              <w:bottom w:val="single" w:color="080000" w:sz="6" w:space="0"/>
              <w:right w:val="single" w:color="080000" w:sz="6" w:space="0"/>
            </w:tcBorders>
            <w:vAlign w:val="center"/>
          </w:tcPr>
          <w:p>
            <w:pPr>
              <w:pStyle w:val="14"/>
              <w:spacing w:line="360" w:lineRule="auto"/>
              <w:jc w:val="center"/>
              <w:rPr>
                <w:b/>
                <w:bCs/>
                <w:color w:val="auto"/>
                <w:highlight w:val="none"/>
              </w:rPr>
            </w:pPr>
            <w:r>
              <w:rPr>
                <w:rFonts w:hint="eastAsia"/>
                <w:b/>
                <w:bCs/>
                <w:color w:val="auto"/>
                <w:highlight w:val="none"/>
              </w:rPr>
              <w:t>6：30-18：30</w:t>
            </w:r>
          </w:p>
        </w:tc>
      </w:tr>
      <w:tr>
        <w:tblPrEx>
          <w:tblCellMar>
            <w:top w:w="0" w:type="dxa"/>
            <w:left w:w="0" w:type="dxa"/>
            <w:bottom w:w="0" w:type="dxa"/>
            <w:right w:w="0" w:type="dxa"/>
          </w:tblCellMar>
        </w:tblPrEx>
        <w:trPr>
          <w:trHeight w:val="663" w:hRule="atLeast"/>
          <w:tblCellSpacing w:w="0" w:type="dxa"/>
        </w:trPr>
        <w:tc>
          <w:tcPr>
            <w:tcW w:w="1230" w:type="dxa"/>
            <w:vMerge w:val="continue"/>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p>
        </w:tc>
        <w:tc>
          <w:tcPr>
            <w:tcW w:w="2012"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二楼特色</w:t>
            </w:r>
          </w:p>
        </w:tc>
        <w:tc>
          <w:tcPr>
            <w:tcW w:w="1559"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 xml:space="preserve">370（458） </w:t>
            </w:r>
          </w:p>
        </w:tc>
        <w:tc>
          <w:tcPr>
            <w:tcW w:w="1990"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 xml:space="preserve">1104 </w:t>
            </w:r>
          </w:p>
        </w:tc>
        <w:tc>
          <w:tcPr>
            <w:tcW w:w="2325" w:type="dxa"/>
            <w:tcBorders>
              <w:top w:val="single" w:color="080000" w:sz="6" w:space="0"/>
              <w:left w:val="single" w:color="080000" w:sz="6" w:space="0"/>
              <w:bottom w:val="single" w:color="080000" w:sz="6" w:space="0"/>
              <w:right w:val="single" w:color="080000" w:sz="6" w:space="0"/>
            </w:tcBorders>
            <w:vAlign w:val="center"/>
          </w:tcPr>
          <w:p>
            <w:pPr>
              <w:pStyle w:val="14"/>
              <w:spacing w:line="360" w:lineRule="auto"/>
              <w:jc w:val="center"/>
              <w:rPr>
                <w:b/>
                <w:bCs/>
                <w:color w:val="auto"/>
                <w:highlight w:val="none"/>
              </w:rPr>
            </w:pPr>
            <w:r>
              <w:rPr>
                <w:rFonts w:hint="eastAsia"/>
                <w:b/>
                <w:bCs/>
                <w:color w:val="auto"/>
                <w:highlight w:val="none"/>
              </w:rPr>
              <w:t>10：30-19：00</w:t>
            </w:r>
          </w:p>
        </w:tc>
      </w:tr>
      <w:tr>
        <w:tblPrEx>
          <w:tblCellMar>
            <w:top w:w="0" w:type="dxa"/>
            <w:left w:w="0" w:type="dxa"/>
            <w:bottom w:w="0" w:type="dxa"/>
            <w:right w:w="0" w:type="dxa"/>
          </w:tblCellMar>
        </w:tblPrEx>
        <w:trPr>
          <w:trHeight w:val="663" w:hRule="atLeast"/>
          <w:tblCellSpacing w:w="0" w:type="dxa"/>
        </w:trPr>
        <w:tc>
          <w:tcPr>
            <w:tcW w:w="1230" w:type="dxa"/>
            <w:vMerge w:val="continue"/>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p>
        </w:tc>
        <w:tc>
          <w:tcPr>
            <w:tcW w:w="2012"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三楼自选</w:t>
            </w:r>
          </w:p>
        </w:tc>
        <w:tc>
          <w:tcPr>
            <w:tcW w:w="1559"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 xml:space="preserve">403（479） </w:t>
            </w:r>
          </w:p>
        </w:tc>
        <w:tc>
          <w:tcPr>
            <w:tcW w:w="1990"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1463.85</w:t>
            </w:r>
          </w:p>
        </w:tc>
        <w:tc>
          <w:tcPr>
            <w:tcW w:w="2325" w:type="dxa"/>
            <w:tcBorders>
              <w:top w:val="single" w:color="080000" w:sz="6" w:space="0"/>
              <w:left w:val="single" w:color="080000" w:sz="6" w:space="0"/>
              <w:bottom w:val="single" w:color="080000" w:sz="6" w:space="0"/>
              <w:right w:val="single" w:color="080000" w:sz="6" w:space="0"/>
            </w:tcBorders>
            <w:vAlign w:val="center"/>
          </w:tcPr>
          <w:p>
            <w:pPr>
              <w:pStyle w:val="14"/>
              <w:spacing w:line="360" w:lineRule="auto"/>
              <w:jc w:val="center"/>
              <w:rPr>
                <w:b/>
                <w:bCs/>
                <w:color w:val="auto"/>
                <w:highlight w:val="none"/>
              </w:rPr>
            </w:pPr>
            <w:r>
              <w:rPr>
                <w:rFonts w:hint="eastAsia"/>
                <w:b/>
                <w:bCs/>
                <w:color w:val="auto"/>
                <w:highlight w:val="none"/>
              </w:rPr>
              <w:t>11：00-18：00</w:t>
            </w:r>
          </w:p>
        </w:tc>
      </w:tr>
      <w:tr>
        <w:tblPrEx>
          <w:tblCellMar>
            <w:top w:w="0" w:type="dxa"/>
            <w:left w:w="0" w:type="dxa"/>
            <w:bottom w:w="0" w:type="dxa"/>
            <w:right w:w="0" w:type="dxa"/>
          </w:tblCellMar>
        </w:tblPrEx>
        <w:trPr>
          <w:trHeight w:val="735" w:hRule="atLeast"/>
          <w:tblCellSpacing w:w="0" w:type="dxa"/>
        </w:trPr>
        <w:tc>
          <w:tcPr>
            <w:tcW w:w="1230" w:type="dxa"/>
            <w:vMerge w:val="continue"/>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p>
        </w:tc>
        <w:tc>
          <w:tcPr>
            <w:tcW w:w="2012"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后灶楼道、电梯、卫生间</w:t>
            </w:r>
          </w:p>
        </w:tc>
        <w:tc>
          <w:tcPr>
            <w:tcW w:w="1559"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before="0" w:beforeAutospacing="0" w:after="0" w:afterAutospacing="0" w:line="360" w:lineRule="auto"/>
              <w:jc w:val="center"/>
              <w:rPr>
                <w:rFonts w:ascii="Arial" w:hAnsi="Arial" w:cs="Arial"/>
                <w:color w:val="auto"/>
                <w:highlight w:val="none"/>
              </w:rPr>
            </w:pPr>
            <w:r>
              <w:rPr>
                <w:rFonts w:hint="eastAsia"/>
                <w:b/>
                <w:bCs/>
                <w:color w:val="auto"/>
                <w:highlight w:val="none"/>
              </w:rPr>
              <w:t>0</w:t>
            </w:r>
          </w:p>
        </w:tc>
        <w:tc>
          <w:tcPr>
            <w:tcW w:w="1990"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219.07</w:t>
            </w:r>
          </w:p>
        </w:tc>
        <w:tc>
          <w:tcPr>
            <w:tcW w:w="2325" w:type="dxa"/>
            <w:tcBorders>
              <w:top w:val="single" w:color="080000" w:sz="6" w:space="0"/>
              <w:left w:val="single" w:color="080000" w:sz="6" w:space="0"/>
              <w:bottom w:val="single" w:color="080000" w:sz="6" w:space="0"/>
              <w:right w:val="single" w:color="080000" w:sz="6" w:space="0"/>
            </w:tcBorders>
            <w:vAlign w:val="center"/>
          </w:tcPr>
          <w:p>
            <w:pPr>
              <w:pStyle w:val="14"/>
              <w:spacing w:line="360" w:lineRule="auto"/>
              <w:jc w:val="center"/>
              <w:rPr>
                <w:b/>
                <w:bCs/>
                <w:color w:val="auto"/>
                <w:highlight w:val="none"/>
              </w:rPr>
            </w:pPr>
          </w:p>
        </w:tc>
      </w:tr>
      <w:tr>
        <w:tblPrEx>
          <w:tblCellMar>
            <w:top w:w="0" w:type="dxa"/>
            <w:left w:w="0" w:type="dxa"/>
            <w:bottom w:w="0" w:type="dxa"/>
            <w:right w:w="0" w:type="dxa"/>
          </w:tblCellMar>
        </w:tblPrEx>
        <w:trPr>
          <w:trHeight w:val="614" w:hRule="atLeast"/>
          <w:tblCellSpacing w:w="0" w:type="dxa"/>
        </w:trPr>
        <w:tc>
          <w:tcPr>
            <w:tcW w:w="3242" w:type="dxa"/>
            <w:gridSpan w:val="2"/>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合    计</w:t>
            </w:r>
          </w:p>
        </w:tc>
        <w:tc>
          <w:tcPr>
            <w:tcW w:w="1559"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
                <w:bCs/>
                <w:color w:val="auto"/>
                <w:highlight w:val="none"/>
              </w:rPr>
            </w:pPr>
            <w:r>
              <w:rPr>
                <w:rFonts w:hint="eastAsia"/>
                <w:b/>
                <w:bCs/>
                <w:color w:val="auto"/>
                <w:highlight w:val="none"/>
              </w:rPr>
              <w:t>1377</w:t>
            </w:r>
          </w:p>
        </w:tc>
        <w:tc>
          <w:tcPr>
            <w:tcW w:w="1990" w:type="dxa"/>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pStyle w:val="14"/>
              <w:spacing w:line="360" w:lineRule="auto"/>
              <w:jc w:val="center"/>
              <w:rPr>
                <w:bCs/>
                <w:color w:val="auto"/>
                <w:highlight w:val="none"/>
              </w:rPr>
            </w:pPr>
            <w:r>
              <w:rPr>
                <w:rFonts w:hint="eastAsia"/>
                <w:b/>
                <w:bCs/>
                <w:color w:val="auto"/>
                <w:highlight w:val="none"/>
              </w:rPr>
              <w:t>3945</w:t>
            </w:r>
          </w:p>
        </w:tc>
        <w:tc>
          <w:tcPr>
            <w:tcW w:w="2325" w:type="dxa"/>
            <w:tcBorders>
              <w:top w:val="single" w:color="080000" w:sz="6" w:space="0"/>
              <w:left w:val="single" w:color="080000" w:sz="6" w:space="0"/>
              <w:bottom w:val="single" w:color="080000" w:sz="6" w:space="0"/>
              <w:right w:val="single" w:color="080000" w:sz="6" w:space="0"/>
            </w:tcBorders>
            <w:vAlign w:val="center"/>
          </w:tcPr>
          <w:p>
            <w:pPr>
              <w:pStyle w:val="14"/>
              <w:spacing w:before="0" w:beforeAutospacing="0" w:after="0" w:afterAutospacing="0" w:line="360" w:lineRule="auto"/>
              <w:jc w:val="center"/>
              <w:rPr>
                <w:rFonts w:ascii="Arial" w:hAnsi="Arial" w:cs="Arial"/>
                <w:color w:val="auto"/>
                <w:highlight w:val="none"/>
              </w:rPr>
            </w:pPr>
          </w:p>
        </w:tc>
      </w:tr>
    </w:tbl>
    <w:p>
      <w:pPr>
        <w:pStyle w:val="2"/>
        <w:jc w:val="both"/>
        <w:rPr>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（二）招标采购范围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1、各楼宇餐厅公共区域的保洁，如：天棚、地面、四壁、门窗、玻璃、走廊、楼道、楼梯等卫生保洁；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2、各楼宇餐厅公共区域的滚梯、餐桌椅、洗手池、售餐台、公用的筷子架、调料台等设备设施的卫生保洁；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3、各楼宇餐厅洗消间、公共卫生间清洁；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4、各楼宇餐厅所有餐次的餐具回收、清洗、洗涤、消毒、配送等；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5、各楼宇餐厨垃圾、日常垃圾的回收、清理运送；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各楼宇门前三包区域卫生、清雪（含楼顶）工作。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（三）服务期限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服务有效期为三年，合同一年一签，经招标人确认履约合格，方可签署下一年合同。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（四）保洁、消毒服务内容及标准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1、公共区域、设备设施卫生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面、窗台、踢脚线、门窗、楼体栏杆扶手等保持清洁，无陈灰、油渍、水渍、垃圾、杂物；天棚、墙壁、暖气、灯具等应定期清洁，无陈灰、蛛网；餐桌、调料台、售餐台、售饭机、标识牌等设备设施洁净光亮，无灰尘、油渍、水渍、污渍，保持整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2、洗手台、垃圾桶、卫生间等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设备设施无灰尘、无污垢、地面无积水。拖布等清洁工具及用品摆放整齐，无乱堆乱放；纸篓内垃圾不超过桶身三分之二；定时消毒除臭，保证无异味。用餐高峰期确保随来随用。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3、滚梯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日检随清，发现问题及时报修，确保安全运行。扶手、踏板、玻璃立面等保持清洁，无灰尘、无污渍、无油渍、标识清晰完好。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4、外墙四壁及玻璃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及时清理外墙面小广告、喷涂及其他污渍，保持楼宇外观整洁。玻璃定期保洁，保持洁净光亮，无灰尘、油渍、水渍、污渍，保持整洁。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5、楼顶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定期进行巡视巡查，对楼顶和水漏管口的冰雪、杂物等及时进行清理，对出现的问题及安全隐患及时报修。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6、门前三包区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餐前清理，无垃圾、无杂物、无杂草、无污渍、冬季无残留冰雪。</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7、餐厅内日常保洁垃圾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日产日清，运送至指定垃圾站。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餐具洗消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随用随洗，确保周转。开餐前至少提前30分钟将餐具送到售饭口。严格执行餐具清洗消毒的有关规定，做到一洗、二涮、三冲、四消毒。保证餐具干净、无污渍、无油渍、清洁干爽。餐具化验抽查各项指标合格。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9、电梯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日清日检，发现问题及时报修，确保安全运行。轿厢内外等保持清洁，无灰尘、无污渍、无油渍、标识清晰完好。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（五）保洁消毒管理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1、保洁消毒人员应按照公司要求统一着装。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2、保洁公司须岗前对员工进行统一培训，做到高素质上岗，以管理求质量。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3、保洁消毒区域划分明确、并由保洁消毒员承包到人，按照《饮食中心保洁消毒人员作业指导书》执行。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4、每日管理人员随时巡查各分担区卫生，保证各区域的日常卫生。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5、制定一套符合学校的保洁消毒的管理制度，并以接受校方的检查、考核，认定并实施到保洁中去，达到高标准。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三、考核标准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制订《保洁、消毒人员作业指导书》、《保洁消毒工作频次及作业标准》，标准不得低于招标人现行标准（附后），并遵照执行，招标人在日常工作中进行监察，对于达不到招标文件要求的，招标人对投标人下达限期整改通知，如投标人未能在规定期限内完成整改，招标人可视情节轻重扣除履约保证金。详见《监察考核标准》。</w:t>
      </w:r>
    </w:p>
    <w:p>
      <w:pPr>
        <w:spacing w:line="360" w:lineRule="auto"/>
        <w:ind w:firstLine="480" w:firstLineChars="200"/>
        <w:rPr>
          <w:rFonts w:ascii="宋体" w:hAnsi="宋体" w:cs="宋体"/>
          <w:color w:val="auto"/>
          <w:sz w:val="24"/>
          <w:highlight w:val="none"/>
        </w:rPr>
      </w:pPr>
    </w:p>
    <w:tbl>
      <w:tblPr>
        <w:tblStyle w:val="16"/>
        <w:tblW w:w="9240" w:type="dxa"/>
        <w:tblInd w:w="93" w:type="dxa"/>
        <w:tblLayout w:type="autofit"/>
        <w:tblCellMar>
          <w:top w:w="0" w:type="dxa"/>
          <w:left w:w="108" w:type="dxa"/>
          <w:bottom w:w="0" w:type="dxa"/>
          <w:right w:w="108" w:type="dxa"/>
        </w:tblCellMar>
      </w:tblPr>
      <w:tblGrid>
        <w:gridCol w:w="1714"/>
        <w:gridCol w:w="3900"/>
        <w:gridCol w:w="1322"/>
        <w:gridCol w:w="2304"/>
      </w:tblGrid>
      <w:tr>
        <w:tblPrEx>
          <w:tblCellMar>
            <w:top w:w="0" w:type="dxa"/>
            <w:left w:w="108" w:type="dxa"/>
            <w:bottom w:w="0" w:type="dxa"/>
            <w:right w:w="108" w:type="dxa"/>
          </w:tblCellMar>
        </w:tblPrEx>
        <w:trPr>
          <w:trHeight w:val="595" w:hRule="atLeast"/>
        </w:trPr>
        <w:tc>
          <w:tcPr>
            <w:tcW w:w="9240" w:type="dxa"/>
            <w:gridSpan w:val="4"/>
            <w:tcBorders>
              <w:top w:val="nil"/>
              <w:left w:val="nil"/>
              <w:bottom w:val="nil"/>
              <w:right w:val="nil"/>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保洁消毒外包处罚情况及标准</w:t>
            </w:r>
          </w:p>
        </w:tc>
      </w:tr>
      <w:tr>
        <w:tblPrEx>
          <w:tblCellMar>
            <w:top w:w="0" w:type="dxa"/>
            <w:left w:w="108" w:type="dxa"/>
            <w:bottom w:w="0" w:type="dxa"/>
            <w:right w:w="108" w:type="dxa"/>
          </w:tblCellMar>
        </w:tblPrEx>
        <w:trPr>
          <w:trHeight w:val="456" w:hRule="atLeast"/>
        </w:trPr>
        <w:tc>
          <w:tcPr>
            <w:tcW w:w="1714"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rPr>
              <w:t>类   别</w:t>
            </w: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rPr>
              <w:t>具体内容</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rPr>
              <w:t>处罚标准</w:t>
            </w:r>
          </w:p>
        </w:tc>
        <w:tc>
          <w:tcPr>
            <w:tcW w:w="2304"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rPr>
              <w:t>备注说明</w:t>
            </w:r>
          </w:p>
        </w:tc>
      </w:tr>
      <w:tr>
        <w:tblPrEx>
          <w:tblCellMar>
            <w:top w:w="0" w:type="dxa"/>
            <w:left w:w="108" w:type="dxa"/>
            <w:bottom w:w="0" w:type="dxa"/>
            <w:right w:w="108" w:type="dxa"/>
          </w:tblCellMar>
        </w:tblPrEx>
        <w:trPr>
          <w:trHeight w:val="902" w:hRule="atLeast"/>
        </w:trPr>
        <w:tc>
          <w:tcPr>
            <w:tcW w:w="17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员工行为规范</w:t>
            </w: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上岗期间未按标准穿着工装或工装不配套、不整洁</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20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56"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着工作服进入卫生间</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20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902"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工作期间聊天、玩手机、做与工作无关的事</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20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902"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未遵守食堂用餐制度、时间、统一用餐，随意吃拿食品</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20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情节严重或有外带行为的应立即解聘</w:t>
            </w:r>
          </w:p>
        </w:tc>
      </w:tr>
      <w:tr>
        <w:tblPrEx>
          <w:tblCellMar>
            <w:top w:w="0" w:type="dxa"/>
            <w:left w:w="108" w:type="dxa"/>
            <w:bottom w:w="0" w:type="dxa"/>
            <w:right w:w="108" w:type="dxa"/>
          </w:tblCellMar>
        </w:tblPrEx>
        <w:trPr>
          <w:trHeight w:val="902" w:hRule="atLeast"/>
        </w:trPr>
        <w:tc>
          <w:tcPr>
            <w:tcW w:w="17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员工服务态度</w:t>
            </w: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未注意倾听进餐者所提问题，无精打采、漫不经心给进餐者来带不良感受</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50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902"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服务态度生硬、蛮横、使用不文明语言或与进餐者发生口角争执</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100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902"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与就餐者发生打架事件，不分先后、有理无理、主动被动、内部外部</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500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应立即解聘，情节严重者移交公安部门处理</w:t>
            </w:r>
          </w:p>
        </w:tc>
      </w:tr>
      <w:tr>
        <w:tblPrEx>
          <w:tblCellMar>
            <w:top w:w="0" w:type="dxa"/>
            <w:left w:w="108" w:type="dxa"/>
            <w:bottom w:w="0" w:type="dxa"/>
            <w:right w:w="108" w:type="dxa"/>
          </w:tblCellMar>
        </w:tblPrEx>
        <w:trPr>
          <w:trHeight w:val="1348" w:hRule="atLeast"/>
        </w:trPr>
        <w:tc>
          <w:tcPr>
            <w:tcW w:w="17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日常管理规范</w:t>
            </w: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未遵守《保洁、消毒人员作业指导书》、《保洁消毒工作频次及作业标准》等相关规定的</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20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560"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未按招标人防疫要求进行日常消杀</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50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560" w:hRule="atLeast"/>
        </w:trPr>
        <w:tc>
          <w:tcPr>
            <w:tcW w:w="17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节能降耗</w:t>
            </w: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人走未及时关闭水、电</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20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902"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每月月底盘点餐具破损率超出3%部分，按实际数量赔偿</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Fonts w:hint="eastAsia" w:ascii="宋体" w:hAnsi="宋体" w:cs="宋体"/>
                <w:color w:val="auto"/>
                <w:kern w:val="0"/>
                <w:sz w:val="24"/>
                <w:highlight w:val="none"/>
              </w:rPr>
              <w:t>按餐具采购价格</w:t>
            </w:r>
          </w:p>
        </w:tc>
        <w:tc>
          <w:tcPr>
            <w:tcW w:w="2304"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ascii="宋体" w:hAnsi="宋体" w:cs="宋体"/>
                <w:color w:val="auto"/>
                <w:sz w:val="24"/>
                <w:highlight w:val="none"/>
              </w:rPr>
            </w:pPr>
          </w:p>
        </w:tc>
      </w:tr>
      <w:tr>
        <w:tblPrEx>
          <w:tblCellMar>
            <w:top w:w="0" w:type="dxa"/>
            <w:left w:w="108" w:type="dxa"/>
            <w:bottom w:w="0" w:type="dxa"/>
            <w:right w:w="108" w:type="dxa"/>
          </w:tblCellMar>
        </w:tblPrEx>
        <w:trPr>
          <w:trHeight w:val="1794" w:hRule="atLeast"/>
        </w:trPr>
        <w:tc>
          <w:tcPr>
            <w:tcW w:w="17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食品安全</w:t>
            </w: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无健康证或健康证超出有效期</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双倍处罚</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按相关人员违规的实际用工时长对应用工成本的双倍处罚，相关人员立即停止工作 </w:t>
            </w:r>
          </w:p>
        </w:tc>
      </w:tr>
      <w:tr>
        <w:tblPrEx>
          <w:tblCellMar>
            <w:top w:w="0" w:type="dxa"/>
            <w:left w:w="108" w:type="dxa"/>
            <w:bottom w:w="0" w:type="dxa"/>
            <w:right w:w="108" w:type="dxa"/>
          </w:tblCellMar>
        </w:tblPrEx>
        <w:trPr>
          <w:trHeight w:val="456"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随机化验检测餐具检验指标不达标</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1000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56" w:hRule="atLeast"/>
        </w:trPr>
        <w:tc>
          <w:tcPr>
            <w:tcW w:w="17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有效服务投诉</w:t>
            </w: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凡因保洁、消毒问题引发学校层面投诉</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Style w:val="25"/>
                <w:rFonts w:hint="default"/>
                <w:color w:val="auto"/>
                <w:sz w:val="24"/>
                <w:szCs w:val="24"/>
                <w:highlight w:val="none"/>
              </w:rPr>
              <w:t>500</w:t>
            </w:r>
            <w:r>
              <w:rPr>
                <w:rFonts w:hint="eastAsia" w:ascii="宋体" w:hAnsi="宋体" w:cs="宋体"/>
                <w:color w:val="auto"/>
                <w:kern w:val="0"/>
                <w:sz w:val="24"/>
                <w:highlight w:val="none"/>
              </w:rPr>
              <w:t>元</w:t>
            </w:r>
            <w:r>
              <w:rPr>
                <w:rStyle w:val="25"/>
                <w:rFonts w:hint="default"/>
                <w:color w:val="auto"/>
                <w:sz w:val="24"/>
                <w:szCs w:val="24"/>
                <w:highlight w:val="none"/>
              </w:rPr>
              <w:t>/</w:t>
            </w:r>
            <w:r>
              <w:rPr>
                <w:rFonts w:hint="eastAsia" w:ascii="宋体" w:hAnsi="宋体" w:cs="宋体"/>
                <w:color w:val="auto"/>
                <w:kern w:val="0"/>
                <w:sz w:val="24"/>
                <w:highlight w:val="none"/>
              </w:rPr>
              <w:t>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56"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凡因保洁、消毒问题引发集团层面投诉</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Fonts w:hint="eastAsia" w:ascii="宋体" w:hAnsi="宋体" w:cs="宋体"/>
                <w:color w:val="auto"/>
                <w:kern w:val="0"/>
                <w:sz w:val="24"/>
                <w:highlight w:val="none"/>
              </w:rPr>
              <w:t>200元/次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66" w:hRule="atLeast"/>
        </w:trPr>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3900"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凡因保洁、消毒问题引发中心层面投诉</w:t>
            </w:r>
          </w:p>
        </w:tc>
        <w:tc>
          <w:tcPr>
            <w:tcW w:w="132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top"/>
              <w:rPr>
                <w:rFonts w:cs="Calibri"/>
                <w:color w:val="auto"/>
                <w:sz w:val="24"/>
                <w:highlight w:val="none"/>
              </w:rPr>
            </w:pPr>
            <w:r>
              <w:rPr>
                <w:rFonts w:hint="eastAsia" w:ascii="宋体" w:hAnsi="宋体" w:cs="宋体"/>
                <w:color w:val="auto"/>
                <w:kern w:val="0"/>
                <w:sz w:val="24"/>
                <w:highlight w:val="none"/>
              </w:rPr>
              <w:t>50元/次</w:t>
            </w:r>
          </w:p>
        </w:tc>
        <w:tc>
          <w:tcPr>
            <w:tcW w:w="230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color w:val="auto"/>
                <w:sz w:val="24"/>
                <w:highlight w:val="none"/>
              </w:rPr>
            </w:pPr>
          </w:p>
        </w:tc>
      </w:tr>
    </w:tbl>
    <w:p>
      <w:pPr>
        <w:rPr>
          <w:color w:val="auto"/>
          <w:sz w:val="24"/>
          <w:highlight w:val="none"/>
        </w:rPr>
      </w:pPr>
    </w:p>
    <w:p>
      <w:pPr>
        <w:pStyle w:val="2"/>
        <w:rPr>
          <w:color w:val="auto"/>
          <w:szCs w:val="24"/>
          <w:highlight w:val="none"/>
        </w:rPr>
      </w:pPr>
    </w:p>
    <w:p>
      <w:pPr>
        <w:rPr>
          <w:color w:val="auto"/>
          <w:sz w:val="24"/>
          <w:highlight w:val="none"/>
        </w:rPr>
      </w:pPr>
    </w:p>
    <w:p>
      <w:pPr>
        <w:rPr>
          <w:color w:val="auto"/>
          <w:sz w:val="24"/>
          <w:highlight w:val="none"/>
        </w:rPr>
        <w:sectPr>
          <w:pgSz w:w="11908" w:h="16838"/>
          <w:pgMar w:top="1361" w:right="1247" w:bottom="1361" w:left="1247" w:header="720" w:footer="720" w:gutter="0"/>
          <w:cols w:space="720" w:num="1"/>
          <w:titlePg/>
        </w:sectPr>
      </w:pPr>
    </w:p>
    <w:tbl>
      <w:tblPr>
        <w:tblStyle w:val="16"/>
        <w:tblW w:w="13980" w:type="dxa"/>
        <w:tblInd w:w="93" w:type="dxa"/>
        <w:tblLayout w:type="autofit"/>
        <w:tblCellMar>
          <w:top w:w="0" w:type="dxa"/>
          <w:left w:w="108" w:type="dxa"/>
          <w:bottom w:w="0" w:type="dxa"/>
          <w:right w:w="108" w:type="dxa"/>
        </w:tblCellMar>
      </w:tblPr>
      <w:tblGrid>
        <w:gridCol w:w="1536"/>
        <w:gridCol w:w="6270"/>
        <w:gridCol w:w="6174"/>
      </w:tblGrid>
      <w:tr>
        <w:tblPrEx>
          <w:tblCellMar>
            <w:top w:w="0" w:type="dxa"/>
            <w:left w:w="108" w:type="dxa"/>
            <w:bottom w:w="0" w:type="dxa"/>
            <w:right w:w="108" w:type="dxa"/>
          </w:tblCellMar>
        </w:tblPrEx>
        <w:trPr>
          <w:trHeight w:val="675" w:hRule="atLeast"/>
        </w:trPr>
        <w:tc>
          <w:tcPr>
            <w:tcW w:w="13980" w:type="dxa"/>
            <w:gridSpan w:val="3"/>
            <w:tcBorders>
              <w:top w:val="nil"/>
              <w:left w:val="nil"/>
              <w:bottom w:val="nil"/>
              <w:right w:val="nil"/>
            </w:tcBorders>
            <w:noWrap/>
            <w:vAlign w:val="center"/>
          </w:tcPr>
          <w:p>
            <w:pPr>
              <w:widowControl/>
              <w:textAlignment w:val="top"/>
              <w:rPr>
                <w:rFonts w:ascii="宋体" w:hAnsi="宋体" w:cs="宋体"/>
                <w:color w:val="auto"/>
                <w:kern w:val="0"/>
                <w:sz w:val="24"/>
                <w:highlight w:val="none"/>
              </w:rPr>
            </w:pPr>
            <w:r>
              <w:rPr>
                <w:rFonts w:hint="eastAsia" w:ascii="宋体" w:hAnsi="宋体" w:cs="宋体"/>
                <w:color w:val="auto"/>
                <w:kern w:val="0"/>
                <w:sz w:val="24"/>
                <w:highlight w:val="none"/>
              </w:rPr>
              <w:t>附件1、招标人现行</w:t>
            </w:r>
            <w:r>
              <w:rPr>
                <w:rFonts w:hint="eastAsia" w:ascii="宋体" w:hAnsi="宋体" w:cs="宋体"/>
                <w:color w:val="auto"/>
                <w:sz w:val="24"/>
                <w:highlight w:val="none"/>
              </w:rPr>
              <w:t>《保洁、消毒人员作业指导书》相关内容</w:t>
            </w:r>
          </w:p>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保洁、消毒人员作业指导书相关内容</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工作时间</w:t>
            </w:r>
          </w:p>
        </w:tc>
        <w:tc>
          <w:tcPr>
            <w:tcW w:w="12546"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工作具体内容</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b/>
                <w:bCs/>
                <w:color w:val="auto"/>
                <w:sz w:val="24"/>
                <w:highlight w:val="none"/>
              </w:rPr>
            </w:pPr>
          </w:p>
        </w:tc>
        <w:tc>
          <w:tcPr>
            <w:tcW w:w="627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保洁员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消毒员</w:t>
            </w:r>
          </w:p>
        </w:tc>
      </w:tr>
      <w:tr>
        <w:tblPrEx>
          <w:tblCellMar>
            <w:top w:w="0" w:type="dxa"/>
            <w:left w:w="108" w:type="dxa"/>
            <w:bottom w:w="0" w:type="dxa"/>
            <w:right w:w="108" w:type="dxa"/>
          </w:tblCellMar>
        </w:tblPrEx>
        <w:trPr>
          <w:trHeight w:val="24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6:15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正式上岗</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正式上岗</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06:15-06:20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开门，打开热水器烧水</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打开气阀泵水，检查机器状态，把水槽放满水，装筷子</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06:20-06:30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门前三包区域环境卫生保洁（无纸屑、果皮、树叶等），配送餐具。</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配送餐具</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06:30-06:45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擦拭餐厅大门，确保玻璃光亮通透</w:t>
            </w:r>
          </w:p>
        </w:tc>
        <w:tc>
          <w:tcPr>
            <w:tcW w:w="6276" w:type="dxa"/>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rPr>
              <w:t>开餐期间：收餐具，洗刷，根据餐具用量随时满足餐口餐具的配送工作、回收，直到收餐</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06:45-07:00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餐厅内设施擦拭：柱子、消火栓、隔断、热水器、窗台窗框、镜子等</w:t>
            </w:r>
          </w:p>
        </w:tc>
        <w:tc>
          <w:tcPr>
            <w:tcW w:w="6276"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07:00-08:15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早餐开餐期间随时清理餐桌、地面卫生</w:t>
            </w:r>
          </w:p>
        </w:tc>
        <w:tc>
          <w:tcPr>
            <w:tcW w:w="6276"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08:15-08:45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员工早餐（轮流就餐）确保关注餐厅内就餐情况</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员工早餐（轮流就餐）确保关注餐厅内就餐情况</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08:45-09:30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餐后收尾，擦桌子、扫地、拖地，垃圾倾倒</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消毒餐具，对消毒间卫生进行保洁</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09:30-09:45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部门例会</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部门例会</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09:45-10:00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中餐开餐前门前三包区域环境卫生保洁，擦拭大门，确保门厅卫生</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配送餐具，打扫卫生死角</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10：00-10:15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整理餐厅内桌椅，将桌椅归位摆放整齐</w:t>
            </w:r>
          </w:p>
        </w:tc>
        <w:tc>
          <w:tcPr>
            <w:tcW w:w="6276" w:type="dxa"/>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rPr>
              <w:t>做好开餐前的准备工作，开餐期间收餐具，洗刷，根据餐具用量随时满足餐口餐具的配送工作、回收，直到收餐</w:t>
            </w:r>
          </w:p>
        </w:tc>
      </w:tr>
      <w:tr>
        <w:tblPrEx>
          <w:tblCellMar>
            <w:top w:w="0" w:type="dxa"/>
            <w:left w:w="108" w:type="dxa"/>
            <w:bottom w:w="0" w:type="dxa"/>
            <w:right w:w="108" w:type="dxa"/>
          </w:tblCellMar>
        </w:tblPrEx>
        <w:trPr>
          <w:trHeight w:val="503"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10:15-10:30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将餐厅内基础服务设施（筷子架、调料台、餐盘取用区、开水器等）区域物品摆放整齐</w:t>
            </w:r>
          </w:p>
        </w:tc>
        <w:tc>
          <w:tcPr>
            <w:tcW w:w="6276"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10:30-12:30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中餐开餐期间随时清理餐桌、地面卫生</w:t>
            </w:r>
          </w:p>
        </w:tc>
        <w:tc>
          <w:tcPr>
            <w:tcW w:w="6276"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12:30-13:00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员工中餐（轮流就餐）确保关注餐厅内就餐情况</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员工中餐（轮流就餐）确保关注餐厅内就餐情况</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13:00-13:30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餐后收尾，擦桌子、扫地、拖地，垃圾倾倒</w:t>
            </w:r>
          </w:p>
        </w:tc>
        <w:tc>
          <w:tcPr>
            <w:tcW w:w="6276" w:type="dxa"/>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rPr>
              <w:t>餐后收尾，关闭所有电源开关，气阀，做好消毒间卫生清洁，将餐具按要求归类摆放。</w:t>
            </w:r>
          </w:p>
        </w:tc>
      </w:tr>
      <w:tr>
        <w:tblPrEx>
          <w:tblCellMar>
            <w:top w:w="0" w:type="dxa"/>
            <w:left w:w="108" w:type="dxa"/>
            <w:bottom w:w="0" w:type="dxa"/>
            <w:right w:w="108" w:type="dxa"/>
          </w:tblCellMar>
        </w:tblPrEx>
        <w:trPr>
          <w:trHeight w:val="503"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13:30-13:45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餐厅内设施擦拭：柱子、消火栓、隔断、热水器、窗台窗框、镜子等，检查收尾锁门</w:t>
            </w:r>
          </w:p>
        </w:tc>
        <w:tc>
          <w:tcPr>
            <w:tcW w:w="6276"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13:45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休息</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休息</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15:45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正式上岗</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正式上岗</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15:45-16:00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门前三包区域环境卫生保洁（无纸屑、果皮、树叶等）</w:t>
            </w:r>
          </w:p>
        </w:tc>
        <w:tc>
          <w:tcPr>
            <w:tcW w:w="6276" w:type="dxa"/>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rPr>
              <w:t>打开气阀泵水，检查机器状态，把水槽放满水，装筷子，消毒餐具，配送餐具</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16:00-16:20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餐厅内设施擦拭：柱子、消火栓、隔断、热水器、窗台窗框、镜子等</w:t>
            </w:r>
          </w:p>
        </w:tc>
        <w:tc>
          <w:tcPr>
            <w:tcW w:w="6276"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503"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16:20-17:00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晚餐开餐前将桌椅、地面重点擦拭到位，17:00前将餐厅内基础服务设施（筷子架、调料台、餐盘取用区、开水器等）区域物品摆放整齐</w:t>
            </w:r>
          </w:p>
        </w:tc>
        <w:tc>
          <w:tcPr>
            <w:tcW w:w="6276" w:type="dxa"/>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rPr>
              <w:t>做好开餐前的准备工作，开餐期间收餐具，洗刷，根据餐具用量随时满足餐口餐具的配送工作、回收，直到收餐</w:t>
            </w: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17：00-18:15</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晚餐开餐期间随时清理餐桌、地面卫生</w:t>
            </w:r>
          </w:p>
        </w:tc>
        <w:tc>
          <w:tcPr>
            <w:tcW w:w="6276"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5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18:15-18:30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员工晚餐</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员工晚餐</w:t>
            </w:r>
          </w:p>
        </w:tc>
      </w:tr>
      <w:tr>
        <w:tblPrEx>
          <w:tblCellMar>
            <w:top w:w="0" w:type="dxa"/>
            <w:left w:w="108" w:type="dxa"/>
            <w:bottom w:w="0" w:type="dxa"/>
            <w:right w:w="108" w:type="dxa"/>
          </w:tblCellMar>
        </w:tblPrEx>
        <w:trPr>
          <w:trHeight w:val="503"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18:30-19:00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餐后收尾，擦桌子、扫地、拖地，垃圾倾倒，关闭门窗、所有电源、锁门</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餐后收尾，关闭所有电源开关，气阀，做好消毒间卫生清洁，将餐具按要求归类摆放。</w:t>
            </w:r>
          </w:p>
        </w:tc>
      </w:tr>
      <w:tr>
        <w:tblPrEx>
          <w:tblCellMar>
            <w:top w:w="0" w:type="dxa"/>
            <w:left w:w="108" w:type="dxa"/>
            <w:bottom w:w="0" w:type="dxa"/>
            <w:right w:w="108" w:type="dxa"/>
          </w:tblCellMar>
        </w:tblPrEx>
        <w:trPr>
          <w:trHeight w:val="267" w:hRule="atLeast"/>
        </w:trPr>
        <w:tc>
          <w:tcPr>
            <w:tcW w:w="1434"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19:00</w:t>
            </w:r>
          </w:p>
        </w:tc>
        <w:tc>
          <w:tcPr>
            <w:tcW w:w="6270"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下班</w:t>
            </w:r>
          </w:p>
        </w:tc>
        <w:tc>
          <w:tcPr>
            <w:tcW w:w="627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rPr>
              <w:t>下班</w:t>
            </w:r>
          </w:p>
        </w:tc>
      </w:tr>
    </w:tbl>
    <w:p>
      <w:pPr>
        <w:pStyle w:val="2"/>
        <w:rPr>
          <w:color w:val="auto"/>
          <w:szCs w:val="24"/>
          <w:highlight w:val="none"/>
        </w:rPr>
      </w:pPr>
    </w:p>
    <w:p>
      <w:pPr>
        <w:rPr>
          <w:color w:val="auto"/>
          <w:sz w:val="24"/>
          <w:highlight w:val="none"/>
        </w:rPr>
      </w:pPr>
    </w:p>
    <w:p>
      <w:pPr>
        <w:pStyle w:val="2"/>
        <w:rPr>
          <w:color w:val="auto"/>
          <w:szCs w:val="24"/>
          <w:highlight w:val="none"/>
        </w:rPr>
      </w:pPr>
    </w:p>
    <w:p>
      <w:pPr>
        <w:rPr>
          <w:color w:val="auto"/>
          <w:sz w:val="24"/>
          <w:highlight w:val="none"/>
        </w:rPr>
      </w:pPr>
    </w:p>
    <w:p>
      <w:pPr>
        <w:pStyle w:val="2"/>
        <w:rPr>
          <w:color w:val="auto"/>
          <w:szCs w:val="24"/>
          <w:highlight w:val="none"/>
        </w:rPr>
      </w:pPr>
    </w:p>
    <w:p>
      <w:pPr>
        <w:rPr>
          <w:color w:val="auto"/>
          <w:sz w:val="24"/>
          <w:highlight w:val="none"/>
        </w:rPr>
      </w:pPr>
    </w:p>
    <w:p>
      <w:pPr>
        <w:pStyle w:val="2"/>
        <w:rPr>
          <w:color w:val="auto"/>
          <w:szCs w:val="24"/>
          <w:highlight w:val="none"/>
        </w:rPr>
      </w:pPr>
    </w:p>
    <w:p>
      <w:pPr>
        <w:rPr>
          <w:color w:val="auto"/>
          <w:sz w:val="24"/>
          <w:highlight w:val="none"/>
        </w:rPr>
      </w:pPr>
    </w:p>
    <w:p>
      <w:pPr>
        <w:pStyle w:val="2"/>
        <w:rPr>
          <w:color w:val="auto"/>
          <w:szCs w:val="24"/>
          <w:highlight w:val="none"/>
        </w:rPr>
      </w:pPr>
    </w:p>
    <w:p>
      <w:pPr>
        <w:rPr>
          <w:color w:val="auto"/>
          <w:sz w:val="24"/>
          <w:highlight w:val="none"/>
        </w:rPr>
      </w:pPr>
    </w:p>
    <w:p>
      <w:pPr>
        <w:pStyle w:val="2"/>
        <w:rPr>
          <w:color w:val="auto"/>
          <w:szCs w:val="24"/>
          <w:highlight w:val="none"/>
        </w:rPr>
      </w:pPr>
    </w:p>
    <w:p>
      <w:pPr>
        <w:rPr>
          <w:color w:val="auto"/>
          <w:sz w:val="24"/>
          <w:highlight w:val="none"/>
        </w:rPr>
      </w:pPr>
    </w:p>
    <w:p>
      <w:pPr>
        <w:pStyle w:val="2"/>
        <w:jc w:val="left"/>
        <w:rPr>
          <w:rFonts w:ascii="宋体" w:hAnsi="宋体" w:cs="宋体"/>
          <w:b/>
          <w:bCs/>
          <w:color w:val="auto"/>
          <w:szCs w:val="24"/>
          <w:highlight w:val="none"/>
        </w:rPr>
      </w:pPr>
      <w:r>
        <w:rPr>
          <w:rFonts w:hint="eastAsia"/>
          <w:color w:val="auto"/>
          <w:szCs w:val="24"/>
          <w:highlight w:val="none"/>
        </w:rPr>
        <w:t>附件2：招标人现行</w:t>
      </w:r>
      <w:r>
        <w:rPr>
          <w:rFonts w:hint="eastAsia"/>
          <w:b/>
          <w:bCs/>
          <w:color w:val="auto"/>
          <w:szCs w:val="24"/>
          <w:highlight w:val="none"/>
        </w:rPr>
        <w:t>《</w:t>
      </w:r>
      <w:r>
        <w:rPr>
          <w:rFonts w:hint="eastAsia" w:ascii="宋体" w:hAnsi="宋体" w:cs="宋体"/>
          <w:b/>
          <w:bCs/>
          <w:color w:val="auto"/>
          <w:szCs w:val="24"/>
          <w:highlight w:val="none"/>
        </w:rPr>
        <w:t>保洁消毒工作频次及作业标准》</w:t>
      </w:r>
    </w:p>
    <w:tbl>
      <w:tblPr>
        <w:tblStyle w:val="16"/>
        <w:tblW w:w="13920" w:type="dxa"/>
        <w:tblInd w:w="93" w:type="dxa"/>
        <w:tblLayout w:type="autofit"/>
        <w:tblCellMar>
          <w:top w:w="0" w:type="dxa"/>
          <w:left w:w="108" w:type="dxa"/>
          <w:bottom w:w="0" w:type="dxa"/>
          <w:right w:w="108" w:type="dxa"/>
        </w:tblCellMar>
      </w:tblPr>
      <w:tblGrid>
        <w:gridCol w:w="974"/>
        <w:gridCol w:w="2302"/>
        <w:gridCol w:w="4962"/>
        <w:gridCol w:w="5682"/>
      </w:tblGrid>
      <w:tr>
        <w:tblPrEx>
          <w:tblCellMar>
            <w:top w:w="0" w:type="dxa"/>
            <w:left w:w="108" w:type="dxa"/>
            <w:bottom w:w="0" w:type="dxa"/>
            <w:right w:w="108" w:type="dxa"/>
          </w:tblCellMar>
        </w:tblPrEx>
        <w:trPr>
          <w:trHeight w:val="354" w:hRule="atLeast"/>
        </w:trPr>
        <w:tc>
          <w:tcPr>
            <w:tcW w:w="13920" w:type="dxa"/>
            <w:gridSpan w:val="4"/>
            <w:tcBorders>
              <w:top w:val="nil"/>
              <w:left w:val="nil"/>
              <w:bottom w:val="nil"/>
              <w:right w:val="nil"/>
            </w:tcBorders>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 xml:space="preserve">保洁消毒工作频次及作业标准 </w:t>
            </w:r>
          </w:p>
        </w:tc>
      </w:tr>
      <w:tr>
        <w:tblPrEx>
          <w:tblCellMar>
            <w:top w:w="0" w:type="dxa"/>
            <w:left w:w="108" w:type="dxa"/>
            <w:bottom w:w="0" w:type="dxa"/>
            <w:right w:w="108" w:type="dxa"/>
          </w:tblCellMar>
        </w:tblPrEx>
        <w:trPr>
          <w:trHeight w:val="258" w:hRule="atLeast"/>
        </w:trPr>
        <w:tc>
          <w:tcPr>
            <w:tcW w:w="32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检查项目</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频次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作业标准</w:t>
            </w:r>
          </w:p>
        </w:tc>
      </w:tr>
      <w:tr>
        <w:tblPrEx>
          <w:tblCellMar>
            <w:top w:w="0" w:type="dxa"/>
            <w:left w:w="108" w:type="dxa"/>
            <w:bottom w:w="0" w:type="dxa"/>
            <w:right w:w="108" w:type="dxa"/>
          </w:tblCellMar>
        </w:tblPrEx>
        <w:trPr>
          <w:trHeight w:val="258" w:hRule="atLeast"/>
        </w:trPr>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门前三包门厅</w:t>
            </w: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卫生清理</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每餐开餐前一次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Style w:val="26"/>
                <w:color w:val="auto"/>
                <w:sz w:val="24"/>
                <w:szCs w:val="24"/>
                <w:highlight w:val="none"/>
              </w:rPr>
              <w:t>无杂物、杂草、无污染、</w:t>
            </w:r>
            <w:r>
              <w:rPr>
                <w:rStyle w:val="27"/>
                <w:rFonts w:hint="default"/>
                <w:color w:val="auto"/>
                <w:highlight w:val="none"/>
              </w:rPr>
              <w:t>积雪及时清理</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人员管理</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每餐开餐前一次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餐餐门前无小商小贩</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地面日常清扫、清擦</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每餐开餐前一次，每周彻底清洁一次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清洁、无杂物</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门头设施、门框、玻璃</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每餐开餐前一次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干净、无灰尘、无污渍、保持光亮</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门帘、门厅内设施</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每餐开餐前一次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清洁、无油渍</w:t>
            </w:r>
          </w:p>
        </w:tc>
      </w:tr>
      <w:tr>
        <w:tblPrEx>
          <w:tblCellMar>
            <w:top w:w="0" w:type="dxa"/>
            <w:left w:w="108" w:type="dxa"/>
            <w:bottom w:w="0" w:type="dxa"/>
            <w:right w:w="108" w:type="dxa"/>
          </w:tblCellMar>
        </w:tblPrEx>
        <w:trPr>
          <w:trHeight w:val="507" w:hRule="atLeast"/>
        </w:trPr>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餐厅大厅</w:t>
            </w: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大厅地面</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每餐开餐前一次，彻底售餐后一次，每周用洗地机彻底清洗一次</w:t>
            </w:r>
          </w:p>
        </w:tc>
        <w:tc>
          <w:tcPr>
            <w:tcW w:w="5682"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Style w:val="26"/>
                <w:color w:val="auto"/>
                <w:sz w:val="24"/>
                <w:szCs w:val="24"/>
                <w:highlight w:val="none"/>
              </w:rPr>
              <w:t>干净、无水渍、</w:t>
            </w:r>
            <w:r>
              <w:rPr>
                <w:rStyle w:val="27"/>
                <w:rFonts w:hint="default"/>
                <w:color w:val="auto"/>
                <w:highlight w:val="none"/>
              </w:rPr>
              <w:t>痰迹、</w:t>
            </w:r>
            <w:r>
              <w:rPr>
                <w:rStyle w:val="26"/>
                <w:color w:val="auto"/>
                <w:sz w:val="24"/>
                <w:szCs w:val="24"/>
                <w:highlight w:val="none"/>
              </w:rPr>
              <w:t>油渍，无灰尘、无异物</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餐桌椅</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摆放整齐、桌面整洁干净，无油渍、无杂物；椅面清洁正常待用，冬季椅套摆放整齐干净</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售餐口玻璃、台面</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干净、无灰尘、无污渍，保持光亮</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调料台、筷子笼、微波炉等公用设施</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干净、无油渍、摆放设施台面保持清洁，设施干净处于待用状态</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装饰物、广告宣传栏、各种指示标识</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每周一次</w:t>
            </w:r>
          </w:p>
        </w:tc>
        <w:tc>
          <w:tcPr>
            <w:tcW w:w="5682"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保持清洁，无灰尘、无蛛网、无痰迹、无过期宣传</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门窗、内侧玻璃、墙壁</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每周一次</w:t>
            </w:r>
          </w:p>
        </w:tc>
        <w:tc>
          <w:tcPr>
            <w:tcW w:w="5682"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Style w:val="26"/>
                <w:color w:val="auto"/>
                <w:sz w:val="24"/>
                <w:szCs w:val="24"/>
                <w:highlight w:val="none"/>
              </w:rPr>
              <w:t>保持清洁，</w:t>
            </w:r>
            <w:r>
              <w:rPr>
                <w:rStyle w:val="27"/>
                <w:rFonts w:hint="default"/>
                <w:color w:val="auto"/>
                <w:highlight w:val="none"/>
              </w:rPr>
              <w:t>无灰尘、无蛛网、无痰迹、无乱画、乱贴现象</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电视机、吊扇、顶灯等高处设施、顶棚</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每季度一次</w:t>
            </w:r>
          </w:p>
        </w:tc>
        <w:tc>
          <w:tcPr>
            <w:tcW w:w="5682"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无灰尘积聚、无蛛网、无不规整线路、无墙皮脱落情况</w:t>
            </w:r>
          </w:p>
        </w:tc>
      </w:tr>
      <w:tr>
        <w:tblPrEx>
          <w:tblCellMar>
            <w:top w:w="0" w:type="dxa"/>
            <w:left w:w="108" w:type="dxa"/>
            <w:bottom w:w="0" w:type="dxa"/>
            <w:right w:w="108" w:type="dxa"/>
          </w:tblCellMar>
        </w:tblPrEx>
        <w:trPr>
          <w:trHeight w:val="258" w:hRule="atLeast"/>
        </w:trPr>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卫生间</w:t>
            </w: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地面</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地面清洁干爽、无积水、无杂物</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镜面、洗手盆</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镜面光亮无水渍、污渍、洗手盆台面整洁无积水、洗手液准备充分、水池无异物，下水畅通</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水龙头</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无跑、冒、滴、漏现象，干净整洁无污渍</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便器</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无污渍、无积液、积便、无异味</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垃圾桶</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三餐开餐期间随时保持清洁</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内外清洁，无污渍</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卫生工具</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每日三次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纸篓摆放整齐，垃圾倾倒及时，卫生工具摆放整齐</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墙面</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Style w:val="26"/>
                <w:color w:val="auto"/>
                <w:sz w:val="24"/>
                <w:szCs w:val="24"/>
                <w:highlight w:val="none"/>
              </w:rPr>
              <w:t>保持清洁，</w:t>
            </w:r>
            <w:r>
              <w:rPr>
                <w:rStyle w:val="27"/>
                <w:rFonts w:hint="default"/>
                <w:color w:val="auto"/>
                <w:highlight w:val="none"/>
              </w:rPr>
              <w:t>无灰尘、无蛛网、无乱画、乱贴现象</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门窗</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干净、通透，无灰尘、无印迹、无杂物</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隔断</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无灰尘、无印迹、无杂物</w:t>
            </w:r>
          </w:p>
        </w:tc>
      </w:tr>
      <w:tr>
        <w:tblPrEx>
          <w:tblCellMar>
            <w:top w:w="0" w:type="dxa"/>
            <w:left w:w="108" w:type="dxa"/>
            <w:bottom w:w="0" w:type="dxa"/>
            <w:right w:w="108" w:type="dxa"/>
          </w:tblCellMar>
        </w:tblPrEx>
        <w:trPr>
          <w:trHeight w:val="467" w:hRule="atLeast"/>
        </w:trPr>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走廊楼道</w:t>
            </w:r>
          </w:p>
        </w:tc>
        <w:tc>
          <w:tcPr>
            <w:tcW w:w="23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地面、楼梯</w:t>
            </w:r>
          </w:p>
        </w:tc>
        <w:tc>
          <w:tcPr>
            <w:tcW w:w="496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每日三次</w:t>
            </w:r>
          </w:p>
        </w:tc>
        <w:tc>
          <w:tcPr>
            <w:tcW w:w="56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清洁、无灰尘、纸屑、痰迹等</w:t>
            </w:r>
          </w:p>
        </w:tc>
      </w:tr>
      <w:tr>
        <w:tblPrEx>
          <w:tblCellMar>
            <w:top w:w="0" w:type="dxa"/>
            <w:left w:w="108" w:type="dxa"/>
            <w:bottom w:w="0" w:type="dxa"/>
            <w:right w:w="108" w:type="dxa"/>
          </w:tblCellMar>
        </w:tblPrEx>
        <w:trPr>
          <w:trHeight w:val="46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 w:val="24"/>
                <w:highlight w:val="none"/>
              </w:rPr>
            </w:pPr>
          </w:p>
        </w:tc>
        <w:tc>
          <w:tcPr>
            <w:tcW w:w="496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 w:val="24"/>
                <w:highlight w:val="none"/>
              </w:rPr>
            </w:pPr>
          </w:p>
        </w:tc>
        <w:tc>
          <w:tcPr>
            <w:tcW w:w="568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楼梯扶手</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每日三次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无灰尘、无污渍、无破损</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墙面</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每周彻底清理一次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Style w:val="27"/>
                <w:rFonts w:hint="default"/>
                <w:color w:val="auto"/>
                <w:highlight w:val="none"/>
              </w:rPr>
              <w:t>墙壁墙裙干净、</w:t>
            </w:r>
            <w:r>
              <w:rPr>
                <w:rStyle w:val="26"/>
                <w:color w:val="auto"/>
                <w:sz w:val="24"/>
                <w:szCs w:val="24"/>
                <w:highlight w:val="none"/>
              </w:rPr>
              <w:t>保持清洁，</w:t>
            </w:r>
            <w:r>
              <w:rPr>
                <w:rStyle w:val="27"/>
                <w:rFonts w:hint="default"/>
                <w:color w:val="auto"/>
                <w:highlight w:val="none"/>
              </w:rPr>
              <w:t>无灰尘、无蛛网、无乱画、乱贴现象</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门窗</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每周进行一次清理，每月彻底擦拭一次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门窗、玻璃光亮、窗台无灰尘，通道能正常开启无遮挡物</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灯具</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每季度一次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照明灯具完好待用，无蛛网、无灰尘</w:t>
            </w:r>
          </w:p>
        </w:tc>
      </w:tr>
      <w:tr>
        <w:tblPrEx>
          <w:tblCellMar>
            <w:top w:w="0" w:type="dxa"/>
            <w:left w:w="108" w:type="dxa"/>
            <w:bottom w:w="0" w:type="dxa"/>
            <w:right w:w="108" w:type="dxa"/>
          </w:tblCellMar>
        </w:tblPrEx>
        <w:trPr>
          <w:trHeight w:val="258" w:hRule="atLeast"/>
        </w:trPr>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滚梯</w:t>
            </w: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台阶</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每日三次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清洁、无杂物</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扶手及玻璃</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每日三次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无灰尘、无污渍、玻璃光亮</w:t>
            </w:r>
          </w:p>
        </w:tc>
      </w:tr>
      <w:tr>
        <w:tblPrEx>
          <w:tblCellMar>
            <w:top w:w="0" w:type="dxa"/>
            <w:left w:w="108" w:type="dxa"/>
            <w:bottom w:w="0" w:type="dxa"/>
            <w:right w:w="108" w:type="dxa"/>
          </w:tblCellMar>
        </w:tblPrEx>
        <w:trPr>
          <w:trHeight w:val="258" w:hRule="atLeast"/>
        </w:trPr>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消毒间</w:t>
            </w: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地面</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保持清洁、无积水、无油渍，保证生产操作安全</w:t>
            </w:r>
          </w:p>
        </w:tc>
      </w:tr>
      <w:tr>
        <w:tblPrEx>
          <w:tblCellMar>
            <w:top w:w="0" w:type="dxa"/>
            <w:left w:w="108" w:type="dxa"/>
            <w:bottom w:w="0" w:type="dxa"/>
            <w:right w:w="108" w:type="dxa"/>
          </w:tblCellMar>
        </w:tblPrEx>
        <w:trPr>
          <w:trHeight w:val="1504"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餐具卫生</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三餐开餐期间随时保证待用</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对已完成消毒的餐具认真挑选，做到提供使用的餐具（碗、筷、勺、碟等）内外洁净、光亮、无污垢、油渍、异味，各餐次开餐前餐具（碗、筷、勺、碟等）准备齐全、到位，开餐时，根据使用情况补充及时，便于取用同时要进行苫盖，无污染，严禁未消毒的餐具投放使用</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餐具存放柜</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按已消毒、未消毒分类存放，餐具存放柜内整洁、无杂物</w:t>
            </w:r>
          </w:p>
        </w:tc>
      </w:tr>
      <w:tr>
        <w:tblPrEx>
          <w:tblCellMar>
            <w:top w:w="0" w:type="dxa"/>
            <w:left w:w="108" w:type="dxa"/>
            <w:bottom w:w="0" w:type="dxa"/>
            <w:right w:w="108" w:type="dxa"/>
          </w:tblCellMar>
        </w:tblPrEx>
        <w:trPr>
          <w:trHeight w:val="756"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洗消池</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使用期间，按不同洗消功能投入清洁剂，根据需要更换用水，收餐后保持洗消池无存水、池内干净、整洁、无异物、无油渍</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洗消流程</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每日至少三次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严格按照“一洗、二刷、三冲、四消毒”流程操作，餐具每半月抽样化验检测合格率100%。</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餐具回收</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三餐开餐期间随时</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餐具回收和垃圾（去残渣）及时快速，避免将油渍等迸溅到进餐者身上，泔水桶及时倾倒，保持桶内外干净</w:t>
            </w:r>
          </w:p>
        </w:tc>
      </w:tr>
      <w:tr>
        <w:tblPrEx>
          <w:tblCellMar>
            <w:top w:w="0" w:type="dxa"/>
            <w:left w:w="108" w:type="dxa"/>
            <w:bottom w:w="0" w:type="dxa"/>
            <w:right w:w="108" w:type="dxa"/>
          </w:tblCellMar>
        </w:tblPrEx>
        <w:trPr>
          <w:trHeight w:val="258"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折箩桶</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每餐后处理一次，每日收餐后彻底清理一次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当餐处理，日产日清，折箩桶保持无异味</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餐具破损率</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每月清盘一次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减少餐具人为损坏，每月月底进行清点，破损超出3%的部分，按实际数量赔偿</w:t>
            </w:r>
          </w:p>
        </w:tc>
      </w:tr>
      <w:tr>
        <w:tblPrEx>
          <w:tblCellMar>
            <w:top w:w="0" w:type="dxa"/>
            <w:left w:w="108" w:type="dxa"/>
            <w:bottom w:w="0" w:type="dxa"/>
            <w:right w:w="108" w:type="dxa"/>
          </w:tblCellMar>
        </w:tblPrEx>
        <w:trPr>
          <w:trHeight w:val="507"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刷碗机等洗消设备</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每日一次，每半月保养维护一次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对洗碗机设备定期清洁、维护保养，确保正常运转，餐具轻拿轻放，避免人为破损</w:t>
            </w:r>
          </w:p>
        </w:tc>
      </w:tr>
      <w:tr>
        <w:tblPrEx>
          <w:tblCellMar>
            <w:top w:w="0" w:type="dxa"/>
            <w:left w:w="108" w:type="dxa"/>
            <w:bottom w:w="0" w:type="dxa"/>
            <w:right w:w="108" w:type="dxa"/>
          </w:tblCellMar>
        </w:tblPrEx>
        <w:trPr>
          <w:trHeight w:val="485" w:hRule="atLeast"/>
        </w:trPr>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餐厨处理</w:t>
            </w: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餐厨垃圾倾倒</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每日倾倒一至二次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餐厨垃圾保证封闭不外露，每日集中运送到指定位置，配合餐厨回收部门做好回收工作</w:t>
            </w:r>
          </w:p>
        </w:tc>
      </w:tr>
      <w:tr>
        <w:tblPrEx>
          <w:tblCellMar>
            <w:top w:w="0" w:type="dxa"/>
            <w:left w:w="108" w:type="dxa"/>
            <w:bottom w:w="0" w:type="dxa"/>
            <w:right w:w="108" w:type="dxa"/>
          </w:tblCellMar>
        </w:tblPrEx>
        <w:trPr>
          <w:trHeight w:val="256" w:hRule="atLeast"/>
        </w:trPr>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 w:val="24"/>
                <w:highlight w:val="none"/>
              </w:rPr>
            </w:pPr>
          </w:p>
        </w:tc>
        <w:tc>
          <w:tcPr>
            <w:tcW w:w="230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餐厨桶</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每日清理一次，每周彻底清刷一次</w:t>
            </w:r>
          </w:p>
        </w:tc>
        <w:tc>
          <w:tcPr>
            <w:tcW w:w="56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垃圾桶内外保持干净、无异味、餐厨桶周围无蚊蝇</w:t>
            </w:r>
          </w:p>
        </w:tc>
      </w:tr>
    </w:tbl>
    <w:p>
      <w:pPr>
        <w:bidi w:val="0"/>
        <w:jc w:val="left"/>
        <w:rPr>
          <w:rFonts w:hint="eastAsia"/>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2EAF80B"/>
    <w:multiLevelType w:val="multilevel"/>
    <w:tmpl w:val="12EAF80B"/>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decimal"/>
      <w:pStyle w:val="7"/>
      <w:suff w:val="nothing"/>
      <w:lvlText w:val="%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EBE4555"/>
    <w:multiLevelType w:val="multilevel"/>
    <w:tmpl w:val="6EBE4555"/>
    <w:lvl w:ilvl="0" w:tentative="0">
      <w:start w:val="1"/>
      <w:numFmt w:val="japaneseCounting"/>
      <w:lvlText w:val="（%1）"/>
      <w:lvlJc w:val="left"/>
      <w:pPr>
        <w:ind w:left="1260" w:hanging="75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64074"/>
    <w:rsid w:val="2D5C6F50"/>
    <w:rsid w:val="58EA35D3"/>
    <w:rsid w:val="5D4F6666"/>
    <w:rsid w:val="6719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6">
    <w:name w:val="heading 4"/>
    <w:basedOn w:val="1"/>
    <w:next w:val="1"/>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7">
    <w:name w:val="heading 5"/>
    <w:basedOn w:val="8"/>
    <w:next w:val="9"/>
    <w:qFormat/>
    <w:uiPriority w:val="0"/>
    <w:pPr>
      <w:keepNext/>
      <w:keepLines/>
      <w:numPr>
        <w:ilvl w:val="4"/>
        <w:numId w:val="2"/>
      </w:numPr>
      <w:spacing w:before="280" w:after="290" w:line="372" w:lineRule="auto"/>
      <w:outlineLvl w:val="4"/>
    </w:pPr>
    <w:rPr>
      <w:rFonts w:ascii="Calibri" w:hAnsi="Calibri"/>
      <w:spacing w:val="0"/>
      <w:w w:val="100"/>
      <w:kern w:val="2"/>
      <w:sz w:val="28"/>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center"/>
      <w:textAlignment w:val="baseline"/>
    </w:pPr>
    <w:rPr>
      <w:kern w:val="0"/>
      <w:sz w:val="24"/>
      <w:szCs w:val="20"/>
    </w:rPr>
  </w:style>
  <w:style w:type="paragraph" w:customStyle="1" w:styleId="8">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styleId="9">
    <w:name w:val="Normal Indent"/>
    <w:basedOn w:val="1"/>
    <w:qFormat/>
    <w:uiPriority w:val="0"/>
    <w:pPr>
      <w:ind w:firstLine="420" w:firstLineChars="200"/>
    </w:p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4"/>
    <w:basedOn w:val="1"/>
    <w:next w:val="1"/>
    <w:qFormat/>
    <w:uiPriority w:val="0"/>
    <w:pPr>
      <w:ind w:left="1260" w:leftChars="600"/>
    </w:pPr>
  </w:style>
  <w:style w:type="paragraph" w:styleId="1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5">
    <w:name w:val="Body Text First Indent"/>
    <w:basedOn w:val="2"/>
    <w:qFormat/>
    <w:uiPriority w:val="0"/>
    <w:pPr>
      <w:ind w:firstLine="420" w:firstLineChars="100"/>
    </w:pPr>
  </w:style>
  <w:style w:type="character" w:styleId="18">
    <w:name w:val="page number"/>
    <w:basedOn w:val="17"/>
    <w:qFormat/>
    <w:uiPriority w:val="0"/>
  </w:style>
  <w:style w:type="paragraph" w:customStyle="1" w:styleId="19">
    <w:name w:val="列出段落1"/>
    <w:qFormat/>
    <w:uiPriority w:val="0"/>
    <w:pPr>
      <w:ind w:firstLine="420" w:firstLineChars="200"/>
      <w:jc w:val="center"/>
    </w:pPr>
    <w:rPr>
      <w:rFonts w:ascii="Calibri" w:hAnsi="Calibri" w:eastAsia="宋体" w:cs="Times New Roman"/>
      <w:szCs w:val="22"/>
      <w:lang w:val="en-US" w:eastAsia="zh-CN" w:bidi="ar-SA"/>
    </w:rPr>
  </w:style>
  <w:style w:type="paragraph" w:customStyle="1" w:styleId="20">
    <w:name w:val="_Style 1"/>
    <w:basedOn w:val="1"/>
    <w:qFormat/>
    <w:uiPriority w:val="1"/>
    <w:pPr>
      <w:ind w:firstLine="420" w:firstLineChars="200"/>
    </w:pPr>
  </w:style>
  <w:style w:type="paragraph" w:customStyle="1" w:styleId="21">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标准文本"/>
    <w:basedOn w:val="1"/>
    <w:qFormat/>
    <w:uiPriority w:val="0"/>
    <w:pPr>
      <w:spacing w:line="360" w:lineRule="auto"/>
      <w:ind w:firstLine="480" w:firstLineChars="200"/>
    </w:pPr>
    <w:rPr>
      <w:kern w:val="0"/>
      <w:sz w:val="24"/>
      <w:szCs w:val="20"/>
    </w:rPr>
  </w:style>
  <w:style w:type="paragraph" w:customStyle="1" w:styleId="23">
    <w:name w:val="列出段落2"/>
    <w:basedOn w:val="1"/>
    <w:unhideWhenUsed/>
    <w:qFormat/>
    <w:uiPriority w:val="99"/>
    <w:pPr>
      <w:ind w:firstLine="420" w:firstLineChars="200"/>
    </w:pPr>
  </w:style>
  <w:style w:type="paragraph" w:styleId="24">
    <w:name w:val="List Paragraph"/>
    <w:basedOn w:val="1"/>
    <w:next w:val="13"/>
    <w:qFormat/>
    <w:uiPriority w:val="34"/>
    <w:pPr>
      <w:ind w:firstLine="420" w:firstLineChars="200"/>
    </w:pPr>
  </w:style>
  <w:style w:type="character" w:customStyle="1" w:styleId="25">
    <w:name w:val="font11"/>
    <w:basedOn w:val="17"/>
    <w:qFormat/>
    <w:uiPriority w:val="0"/>
    <w:rPr>
      <w:rFonts w:hint="eastAsia" w:ascii="宋体" w:hAnsi="宋体" w:eastAsia="宋体" w:cs="宋体"/>
      <w:color w:val="000000"/>
      <w:sz w:val="18"/>
      <w:szCs w:val="18"/>
      <w:u w:val="none"/>
    </w:rPr>
  </w:style>
  <w:style w:type="character" w:customStyle="1" w:styleId="26">
    <w:name w:val="font21"/>
    <w:basedOn w:val="17"/>
    <w:qFormat/>
    <w:uiPriority w:val="0"/>
    <w:rPr>
      <w:rFonts w:hint="default" w:ascii="Times New Roman" w:hAnsi="Times New Roman" w:cs="Times New Roman"/>
      <w:color w:val="000000"/>
      <w:sz w:val="20"/>
      <w:szCs w:val="20"/>
      <w:u w:val="none"/>
    </w:rPr>
  </w:style>
  <w:style w:type="character" w:customStyle="1" w:styleId="27">
    <w:name w:val="font3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2021-01-05T05:50:00Z</dcterms:created>
  <dc:creator>Administrator.PC-20151222GRIG</dc:creator>
  <cp:lastModifiedBy>✎﹏₯㎕﹍Carl✎超</cp:lastModifiedBy>
  <dcterms:modified xsi:type="dcterms:W3CDTF">2021-09-16T03:17:26Z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96C52BE531E747E8A21D545A379F7099</vt:lpwstr>
  </property>
</Properties>
</file>