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12" w:lineRule="auto"/>
        <w:jc w:val="center"/>
        <w:rPr>
          <w:rFonts w:hint="eastAsia" w:ascii="宋体" w:hAnsi="宋体" w:eastAsia="宋体" w:cs="宋体"/>
          <w:color w:val="auto"/>
          <w:sz w:val="28"/>
          <w:szCs w:val="28"/>
          <w:highlight w:val="none"/>
        </w:rPr>
      </w:pPr>
      <w:r>
        <w:rPr>
          <w:rFonts w:hint="eastAsia" w:ascii="黑体" w:eastAsia="黑体"/>
          <w:color w:val="auto"/>
          <w:sz w:val="44"/>
          <w:szCs w:val="22"/>
          <w:highlight w:val="none"/>
          <w:lang w:val="en-US" w:eastAsia="zh-CN"/>
        </w:rPr>
        <w:t>采购人需求</w:t>
      </w:r>
    </w:p>
    <w:p>
      <w:pPr>
        <w:rPr>
          <w:rFonts w:hint="eastAsia"/>
          <w:color w:val="auto"/>
          <w:highlight w:val="none"/>
          <w:lang w:eastAsia="zh-CN"/>
        </w:rPr>
      </w:pPr>
      <w:r>
        <w:rPr>
          <w:rFonts w:hint="eastAsia"/>
          <w:color w:val="auto"/>
          <w:highlight w:val="none"/>
          <w:lang w:eastAsia="zh-CN"/>
        </w:rPr>
        <w:t>采购需求（含技术参数，物资明细等)</w:t>
      </w:r>
    </w:p>
    <w:p>
      <w:pPr>
        <w:rPr>
          <w:rFonts w:hint="eastAsia"/>
          <w:color w:val="auto"/>
          <w:highlight w:val="none"/>
          <w:lang w:eastAsia="zh-CN"/>
        </w:rPr>
      </w:pPr>
      <w:r>
        <w:rPr>
          <w:rFonts w:hint="eastAsia"/>
          <w:color w:val="auto"/>
          <w:highlight w:val="none"/>
          <w:lang w:eastAsia="zh-CN"/>
        </w:rPr>
        <w:t>1  主要技术要求</w:t>
      </w:r>
    </w:p>
    <w:p>
      <w:pPr>
        <w:rPr>
          <w:rFonts w:hint="eastAsia"/>
          <w:color w:val="auto"/>
          <w:highlight w:val="none"/>
          <w:lang w:eastAsia="zh-CN"/>
        </w:rPr>
      </w:pPr>
      <w:r>
        <w:rPr>
          <w:rFonts w:hint="eastAsia"/>
          <w:color w:val="auto"/>
          <w:highlight w:val="none"/>
          <w:lang w:eastAsia="zh-CN"/>
        </w:rPr>
        <w:t>1.1  主要功能</w:t>
      </w:r>
    </w:p>
    <w:p>
      <w:pPr>
        <w:rPr>
          <w:rFonts w:hint="eastAsia"/>
          <w:color w:val="auto"/>
          <w:highlight w:val="none"/>
          <w:lang w:eastAsia="zh-CN"/>
        </w:rPr>
      </w:pPr>
      <w:r>
        <w:rPr>
          <w:rFonts w:hint="eastAsia"/>
          <w:color w:val="auto"/>
          <w:highlight w:val="none"/>
          <w:lang w:eastAsia="zh-CN"/>
        </w:rPr>
        <w:t>（1）★适用范围：满足试验电弧电流在500A以下的交流电弧故障及智能化断路器综合测试，满足在125A以下的测试为长期工作制；</w:t>
      </w:r>
    </w:p>
    <w:p>
      <w:pPr>
        <w:rPr>
          <w:rFonts w:hint="eastAsia"/>
          <w:color w:val="auto"/>
          <w:highlight w:val="none"/>
          <w:lang w:eastAsia="zh-CN"/>
        </w:rPr>
      </w:pPr>
      <w:r>
        <w:rPr>
          <w:rFonts w:hint="eastAsia"/>
          <w:color w:val="auto"/>
          <w:highlight w:val="none"/>
          <w:lang w:eastAsia="zh-CN"/>
        </w:rPr>
        <w:t>（2）★采样功能：能够调整测试中的输出电压、电流可调，兼具计时、自动测量和记录测试数据的功能；</w:t>
      </w:r>
    </w:p>
    <w:p>
      <w:pPr>
        <w:rPr>
          <w:rFonts w:hint="eastAsia"/>
          <w:color w:val="auto"/>
          <w:highlight w:val="none"/>
          <w:lang w:eastAsia="zh-CN"/>
        </w:rPr>
      </w:pPr>
      <w:r>
        <w:rPr>
          <w:rFonts w:hint="eastAsia"/>
          <w:color w:val="auto"/>
          <w:highlight w:val="none"/>
          <w:lang w:eastAsia="zh-CN"/>
        </w:rPr>
        <w:t>（3）通讯功能：具有与外部网络的通讯接口和相关软件程序，能自动将测试报表数据上传至网络上位机；</w:t>
      </w:r>
    </w:p>
    <w:p>
      <w:pPr>
        <w:rPr>
          <w:rFonts w:hint="eastAsia"/>
          <w:color w:val="auto"/>
          <w:highlight w:val="none"/>
          <w:lang w:eastAsia="zh-CN"/>
        </w:rPr>
      </w:pPr>
      <w:r>
        <w:rPr>
          <w:rFonts w:hint="eastAsia"/>
          <w:color w:val="auto"/>
          <w:highlight w:val="none"/>
          <w:lang w:eastAsia="zh-CN"/>
        </w:rPr>
        <w:t>（4）★负载功能：具备串联阻抗、并联阻抗、屏蔽及干扰性负载（吸尘器、开关电源、空压机、钨丝灯、荧光灯、卤素灯、电动手持工具、电容启动式电动机、电磁炉、微波炉、电熨斗、变频空调、红外线消毒柜、电冰箱、日光灯、EMI滤波器系统、铠装电缆阻抗负载等）。</w:t>
      </w:r>
    </w:p>
    <w:p>
      <w:pPr>
        <w:rPr>
          <w:rFonts w:hint="eastAsia"/>
          <w:color w:val="auto"/>
          <w:highlight w:val="none"/>
          <w:lang w:eastAsia="zh-CN"/>
        </w:rPr>
      </w:pPr>
      <w:r>
        <w:rPr>
          <w:rFonts w:hint="eastAsia"/>
          <w:color w:val="auto"/>
          <w:highlight w:val="none"/>
          <w:lang w:eastAsia="zh-CN"/>
        </w:rPr>
        <w:t>（5）★标准功能：能够完成相关标准要求的测试项目，具体包括：</w:t>
      </w:r>
    </w:p>
    <w:tbl>
      <w:tblPr>
        <w:tblStyle w:val="13"/>
        <w:tblW w:w="5000" w:type="pct"/>
        <w:jc w:val="center"/>
        <w:tblCellSpacing w:w="7"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75" w:type="dxa"/>
          <w:left w:w="75" w:type="dxa"/>
          <w:bottom w:w="75" w:type="dxa"/>
          <w:right w:w="75" w:type="dxa"/>
        </w:tblCellMar>
      </w:tblPr>
      <w:tblGrid>
        <w:gridCol w:w="481"/>
        <w:gridCol w:w="1491"/>
        <w:gridCol w:w="2262"/>
        <w:gridCol w:w="971"/>
        <w:gridCol w:w="3289"/>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jc w:val="center"/>
        </w:trPr>
        <w:tc>
          <w:tcPr>
            <w:tcW w:w="4983" w:type="pct"/>
            <w:gridSpan w:val="5"/>
            <w:noWrap w:val="0"/>
            <w:vAlign w:val="center"/>
          </w:tcPr>
          <w:p>
            <w:pPr>
              <w:rPr>
                <w:rFonts w:hint="eastAsia"/>
                <w:color w:val="auto"/>
                <w:highlight w:val="none"/>
                <w:lang w:eastAsia="zh-CN"/>
              </w:rPr>
            </w:pPr>
            <w:r>
              <w:rPr>
                <w:rFonts w:hint="eastAsia"/>
                <w:color w:val="auto"/>
                <w:highlight w:val="none"/>
                <w:lang w:eastAsia="zh-CN"/>
              </w:rPr>
              <w:t>适用标准明细</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jc w:val="center"/>
        </w:trPr>
        <w:tc>
          <w:tcPr>
            <w:tcW w:w="273" w:type="pct"/>
            <w:noWrap w:val="0"/>
            <w:vAlign w:val="center"/>
          </w:tcPr>
          <w:p>
            <w:pPr>
              <w:rPr>
                <w:rFonts w:hint="eastAsia"/>
                <w:color w:val="auto"/>
                <w:highlight w:val="none"/>
                <w:lang w:eastAsia="zh-CN"/>
              </w:rPr>
            </w:pPr>
            <w:r>
              <w:rPr>
                <w:rFonts w:hint="eastAsia"/>
                <w:color w:val="auto"/>
                <w:highlight w:val="none"/>
                <w:lang w:eastAsia="zh-CN"/>
              </w:rPr>
              <w:t>序号</w:t>
            </w:r>
          </w:p>
        </w:tc>
        <w:tc>
          <w:tcPr>
            <w:tcW w:w="875" w:type="pct"/>
            <w:noWrap w:val="0"/>
            <w:vAlign w:val="center"/>
          </w:tcPr>
          <w:p>
            <w:pPr>
              <w:rPr>
                <w:rFonts w:hint="eastAsia"/>
                <w:color w:val="auto"/>
                <w:highlight w:val="none"/>
                <w:lang w:eastAsia="zh-CN"/>
              </w:rPr>
            </w:pPr>
            <w:r>
              <w:rPr>
                <w:rFonts w:hint="eastAsia"/>
                <w:color w:val="auto"/>
                <w:highlight w:val="none"/>
                <w:lang w:eastAsia="zh-CN"/>
              </w:rPr>
              <w:t>标准号</w:t>
            </w:r>
          </w:p>
        </w:tc>
        <w:tc>
          <w:tcPr>
            <w:tcW w:w="1332" w:type="pct"/>
            <w:tcBorders>
              <w:righ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标准名称</w:t>
            </w:r>
          </w:p>
        </w:tc>
        <w:tc>
          <w:tcPr>
            <w:tcW w:w="567" w:type="pct"/>
            <w:tcBorders>
              <w:left w:val="single" w:color="auto" w:sz="4" w:space="0"/>
              <w:righ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条款号</w:t>
            </w:r>
          </w:p>
        </w:tc>
        <w:tc>
          <w:tcPr>
            <w:tcW w:w="1901" w:type="pct"/>
            <w:tcBorders>
              <w:lef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试验项目</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74" w:hRule="atLeast"/>
          <w:tblCellSpacing w:w="7" w:type="dxa"/>
          <w:jc w:val="center"/>
        </w:trPr>
        <w:tc>
          <w:tcPr>
            <w:tcW w:w="273" w:type="pct"/>
            <w:shd w:val="clear" w:color="auto" w:fill="auto"/>
            <w:noWrap w:val="0"/>
            <w:vAlign w:val="center"/>
          </w:tcPr>
          <w:p>
            <w:pPr>
              <w:rPr>
                <w:rFonts w:hint="eastAsia"/>
                <w:color w:val="auto"/>
                <w:highlight w:val="none"/>
                <w:lang w:eastAsia="zh-CN"/>
              </w:rPr>
            </w:pPr>
            <w:r>
              <w:rPr>
                <w:rFonts w:hint="eastAsia"/>
                <w:color w:val="auto"/>
                <w:highlight w:val="none"/>
                <w:lang w:eastAsia="zh-CN"/>
              </w:rPr>
              <w:t>1</w:t>
            </w:r>
          </w:p>
        </w:tc>
        <w:tc>
          <w:tcPr>
            <w:tcW w:w="875" w:type="pct"/>
            <w:shd w:val="clear" w:color="auto" w:fill="auto"/>
            <w:noWrap w:val="0"/>
            <w:vAlign w:val="center"/>
          </w:tcPr>
          <w:p>
            <w:pPr>
              <w:rPr>
                <w:rFonts w:hint="eastAsia"/>
                <w:color w:val="auto"/>
                <w:highlight w:val="none"/>
                <w:lang w:eastAsia="zh-CN"/>
              </w:rPr>
            </w:pPr>
            <w:r>
              <w:rPr>
                <w:rFonts w:hint="eastAsia"/>
                <w:color w:val="auto"/>
                <w:highlight w:val="none"/>
                <w:lang w:eastAsia="zh-CN"/>
              </w:rPr>
              <w:t>GB/T 31143-2014</w:t>
            </w:r>
          </w:p>
        </w:tc>
        <w:tc>
          <w:tcPr>
            <w:tcW w:w="1332" w:type="pct"/>
            <w:tcBorders>
              <w:right w:val="single" w:color="auto" w:sz="4" w:space="0"/>
            </w:tcBorders>
            <w:shd w:val="clear" w:color="auto" w:fill="auto"/>
            <w:noWrap w:val="0"/>
            <w:vAlign w:val="center"/>
          </w:tcPr>
          <w:p>
            <w:pPr>
              <w:rPr>
                <w:rFonts w:hint="eastAsia"/>
                <w:color w:val="auto"/>
                <w:highlight w:val="none"/>
                <w:lang w:eastAsia="zh-CN"/>
              </w:rPr>
            </w:pPr>
            <w:r>
              <w:rPr>
                <w:rFonts w:hint="eastAsia"/>
                <w:color w:val="auto"/>
                <w:highlight w:val="none"/>
                <w:lang w:eastAsia="zh-CN"/>
              </w:rPr>
              <w:fldChar w:fldCharType="begin">
                <w:ffData>
                  <w:enabled/>
                  <w:calcOnExit w:val="0"/>
                  <w:textInput>
                    <w:default w:val="电弧故障保护电器（AFDD）的一般要求"/>
                  </w:textInput>
                </w:ffData>
              </w:fldChar>
            </w:r>
            <w:r>
              <w:rPr>
                <w:rFonts w:hint="eastAsia"/>
                <w:color w:val="auto"/>
                <w:highlight w:val="none"/>
                <w:lang w:eastAsia="zh-CN"/>
              </w:rPr>
              <w:instrText xml:space="preserve"> FORMTEXT </w:instrText>
            </w:r>
            <w:r>
              <w:rPr>
                <w:rFonts w:hint="eastAsia"/>
                <w:color w:val="auto"/>
                <w:highlight w:val="none"/>
                <w:lang w:eastAsia="zh-CN"/>
              </w:rPr>
              <w:fldChar w:fldCharType="separate"/>
            </w:r>
            <w:r>
              <w:rPr>
                <w:rFonts w:hint="eastAsia"/>
                <w:color w:val="auto"/>
                <w:highlight w:val="none"/>
                <w:lang w:eastAsia="zh-CN"/>
              </w:rPr>
              <w:t>电弧故障保护电器（AFDD）的一般要求</w:t>
            </w:r>
            <w:r>
              <w:rPr>
                <w:rFonts w:hint="eastAsia"/>
                <w:color w:val="auto"/>
                <w:highlight w:val="none"/>
                <w:lang w:eastAsia="zh-CN"/>
              </w:rPr>
              <w:fldChar w:fldCharType="end"/>
            </w:r>
          </w:p>
        </w:tc>
        <w:tc>
          <w:tcPr>
            <w:tcW w:w="567" w:type="pct"/>
            <w:tcBorders>
              <w:left w:val="single" w:color="auto" w:sz="4" w:space="0"/>
              <w:righ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9.9.2</w:t>
            </w:r>
          </w:p>
        </w:tc>
        <w:tc>
          <w:tcPr>
            <w:tcW w:w="1901" w:type="pct"/>
            <w:tcBorders>
              <w:lef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串联电弧故障动作特性</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jc w:val="center"/>
        </w:trPr>
        <w:tc>
          <w:tcPr>
            <w:tcW w:w="273" w:type="pct"/>
            <w:shd w:val="clear" w:color="auto" w:fill="auto"/>
            <w:noWrap w:val="0"/>
            <w:vAlign w:val="center"/>
          </w:tcPr>
          <w:p>
            <w:pPr>
              <w:rPr>
                <w:rFonts w:hint="eastAsia"/>
                <w:color w:val="auto"/>
                <w:highlight w:val="none"/>
                <w:lang w:eastAsia="zh-CN"/>
              </w:rPr>
            </w:pPr>
            <w:r>
              <w:rPr>
                <w:rFonts w:hint="eastAsia"/>
                <w:color w:val="auto"/>
                <w:highlight w:val="none"/>
                <w:lang w:eastAsia="zh-CN"/>
              </w:rPr>
              <w:t>2</w:t>
            </w:r>
          </w:p>
        </w:tc>
        <w:tc>
          <w:tcPr>
            <w:tcW w:w="875" w:type="pct"/>
            <w:shd w:val="clear" w:color="auto" w:fill="auto"/>
            <w:noWrap w:val="0"/>
            <w:vAlign w:val="center"/>
          </w:tcPr>
          <w:p>
            <w:pPr>
              <w:rPr>
                <w:rFonts w:hint="eastAsia"/>
                <w:color w:val="auto"/>
                <w:highlight w:val="none"/>
                <w:lang w:eastAsia="zh-CN"/>
              </w:rPr>
            </w:pPr>
            <w:r>
              <w:rPr>
                <w:rFonts w:hint="eastAsia"/>
                <w:color w:val="auto"/>
                <w:highlight w:val="none"/>
                <w:lang w:eastAsia="zh-CN"/>
              </w:rPr>
              <w:t>GB/T 31143-2014</w:t>
            </w:r>
          </w:p>
        </w:tc>
        <w:tc>
          <w:tcPr>
            <w:tcW w:w="1332" w:type="pct"/>
            <w:tcBorders>
              <w:right w:val="single" w:color="auto" w:sz="4" w:space="0"/>
            </w:tcBorders>
            <w:shd w:val="clear" w:color="auto" w:fill="auto"/>
            <w:noWrap w:val="0"/>
            <w:vAlign w:val="center"/>
          </w:tcPr>
          <w:p>
            <w:pPr>
              <w:rPr>
                <w:rFonts w:hint="eastAsia"/>
                <w:color w:val="auto"/>
                <w:highlight w:val="none"/>
                <w:lang w:eastAsia="zh-CN"/>
              </w:rPr>
            </w:pPr>
            <w:r>
              <w:rPr>
                <w:rFonts w:hint="eastAsia"/>
                <w:color w:val="auto"/>
                <w:highlight w:val="none"/>
                <w:lang w:eastAsia="zh-CN"/>
              </w:rPr>
              <w:fldChar w:fldCharType="begin">
                <w:ffData>
                  <w:enabled/>
                  <w:calcOnExit w:val="0"/>
                  <w:textInput>
                    <w:default w:val="电弧故障保护电器（AFDD）的一般要求"/>
                  </w:textInput>
                </w:ffData>
              </w:fldChar>
            </w:r>
            <w:r>
              <w:rPr>
                <w:rFonts w:hint="eastAsia"/>
                <w:color w:val="auto"/>
                <w:highlight w:val="none"/>
                <w:lang w:eastAsia="zh-CN"/>
              </w:rPr>
              <w:instrText xml:space="preserve"> FORMTEXT </w:instrText>
            </w:r>
            <w:r>
              <w:rPr>
                <w:rFonts w:hint="eastAsia"/>
                <w:color w:val="auto"/>
                <w:highlight w:val="none"/>
                <w:lang w:eastAsia="zh-CN"/>
              </w:rPr>
              <w:fldChar w:fldCharType="separate"/>
            </w:r>
            <w:r>
              <w:rPr>
                <w:rFonts w:hint="eastAsia"/>
                <w:color w:val="auto"/>
                <w:highlight w:val="none"/>
                <w:lang w:eastAsia="zh-CN"/>
              </w:rPr>
              <w:t>电弧故障保护电器（AFDD）的一般要求</w:t>
            </w:r>
            <w:r>
              <w:rPr>
                <w:rFonts w:hint="eastAsia"/>
                <w:color w:val="auto"/>
                <w:highlight w:val="none"/>
                <w:lang w:eastAsia="zh-CN"/>
              </w:rPr>
              <w:fldChar w:fldCharType="end"/>
            </w:r>
          </w:p>
        </w:tc>
        <w:tc>
          <w:tcPr>
            <w:tcW w:w="567" w:type="pct"/>
            <w:tcBorders>
              <w:left w:val="single" w:color="auto" w:sz="4" w:space="0"/>
              <w:righ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9.9.3</w:t>
            </w:r>
          </w:p>
        </w:tc>
        <w:tc>
          <w:tcPr>
            <w:tcW w:w="1901" w:type="pct"/>
            <w:tcBorders>
              <w:lef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并联电弧故障动作特性</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jc w:val="center"/>
        </w:trPr>
        <w:tc>
          <w:tcPr>
            <w:tcW w:w="273" w:type="pct"/>
            <w:shd w:val="clear" w:color="auto" w:fill="auto"/>
            <w:noWrap w:val="0"/>
            <w:vAlign w:val="center"/>
          </w:tcPr>
          <w:p>
            <w:pPr>
              <w:rPr>
                <w:rFonts w:hint="eastAsia"/>
                <w:color w:val="auto"/>
                <w:highlight w:val="none"/>
                <w:lang w:eastAsia="zh-CN"/>
              </w:rPr>
            </w:pPr>
            <w:r>
              <w:rPr>
                <w:rFonts w:hint="eastAsia"/>
                <w:color w:val="auto"/>
                <w:highlight w:val="none"/>
                <w:lang w:eastAsia="zh-CN"/>
              </w:rPr>
              <w:t>3</w:t>
            </w:r>
          </w:p>
        </w:tc>
        <w:tc>
          <w:tcPr>
            <w:tcW w:w="875" w:type="pct"/>
            <w:shd w:val="clear" w:color="auto" w:fill="auto"/>
            <w:noWrap w:val="0"/>
            <w:vAlign w:val="center"/>
          </w:tcPr>
          <w:p>
            <w:pPr>
              <w:rPr>
                <w:rFonts w:hint="eastAsia"/>
                <w:color w:val="auto"/>
                <w:highlight w:val="none"/>
                <w:lang w:eastAsia="zh-CN"/>
              </w:rPr>
            </w:pPr>
            <w:r>
              <w:rPr>
                <w:rFonts w:hint="eastAsia"/>
                <w:color w:val="auto"/>
                <w:highlight w:val="none"/>
                <w:lang w:eastAsia="zh-CN"/>
              </w:rPr>
              <w:t>GB/T 31143-2014</w:t>
            </w:r>
          </w:p>
        </w:tc>
        <w:tc>
          <w:tcPr>
            <w:tcW w:w="1332" w:type="pct"/>
            <w:tcBorders>
              <w:right w:val="single" w:color="auto" w:sz="4" w:space="0"/>
            </w:tcBorders>
            <w:shd w:val="clear" w:color="auto" w:fill="auto"/>
            <w:noWrap w:val="0"/>
            <w:vAlign w:val="center"/>
          </w:tcPr>
          <w:p>
            <w:pPr>
              <w:rPr>
                <w:rFonts w:hint="eastAsia"/>
                <w:color w:val="auto"/>
                <w:highlight w:val="none"/>
                <w:lang w:eastAsia="zh-CN"/>
              </w:rPr>
            </w:pPr>
            <w:r>
              <w:rPr>
                <w:rFonts w:hint="eastAsia"/>
                <w:color w:val="auto"/>
                <w:highlight w:val="none"/>
                <w:lang w:eastAsia="zh-CN"/>
              </w:rPr>
              <w:fldChar w:fldCharType="begin">
                <w:ffData>
                  <w:enabled/>
                  <w:calcOnExit w:val="0"/>
                  <w:textInput>
                    <w:default w:val="电弧故障保护电器（AFDD）的一般要求"/>
                  </w:textInput>
                </w:ffData>
              </w:fldChar>
            </w:r>
            <w:r>
              <w:rPr>
                <w:rFonts w:hint="eastAsia"/>
                <w:color w:val="auto"/>
                <w:highlight w:val="none"/>
                <w:lang w:eastAsia="zh-CN"/>
              </w:rPr>
              <w:instrText xml:space="preserve"> FORMTEXT </w:instrText>
            </w:r>
            <w:r>
              <w:rPr>
                <w:rFonts w:hint="eastAsia"/>
                <w:color w:val="auto"/>
                <w:highlight w:val="none"/>
                <w:lang w:eastAsia="zh-CN"/>
              </w:rPr>
              <w:fldChar w:fldCharType="separate"/>
            </w:r>
            <w:r>
              <w:rPr>
                <w:rFonts w:hint="eastAsia"/>
                <w:color w:val="auto"/>
                <w:highlight w:val="none"/>
                <w:lang w:eastAsia="zh-CN"/>
              </w:rPr>
              <w:t>电弧故障保护电器（AFDD）的一般要求</w:t>
            </w:r>
            <w:r>
              <w:rPr>
                <w:rFonts w:hint="eastAsia"/>
                <w:color w:val="auto"/>
                <w:highlight w:val="none"/>
                <w:lang w:eastAsia="zh-CN"/>
              </w:rPr>
              <w:fldChar w:fldCharType="end"/>
            </w:r>
          </w:p>
        </w:tc>
        <w:tc>
          <w:tcPr>
            <w:tcW w:w="567" w:type="pct"/>
            <w:tcBorders>
              <w:left w:val="single" w:color="auto" w:sz="4" w:space="0"/>
              <w:righ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9.9.4</w:t>
            </w:r>
          </w:p>
        </w:tc>
        <w:tc>
          <w:tcPr>
            <w:tcW w:w="1901" w:type="pct"/>
            <w:tcBorders>
              <w:lef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屏蔽试验</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blCellSpacing w:w="7" w:type="dxa"/>
          <w:jc w:val="center"/>
        </w:trPr>
        <w:tc>
          <w:tcPr>
            <w:tcW w:w="273" w:type="pct"/>
            <w:shd w:val="clear" w:color="auto" w:fill="auto"/>
            <w:noWrap w:val="0"/>
            <w:vAlign w:val="center"/>
          </w:tcPr>
          <w:p>
            <w:pPr>
              <w:rPr>
                <w:rFonts w:hint="eastAsia"/>
                <w:color w:val="auto"/>
                <w:highlight w:val="none"/>
                <w:lang w:eastAsia="zh-CN"/>
              </w:rPr>
            </w:pPr>
            <w:r>
              <w:rPr>
                <w:rFonts w:hint="eastAsia"/>
                <w:color w:val="auto"/>
                <w:highlight w:val="none"/>
                <w:lang w:eastAsia="zh-CN"/>
              </w:rPr>
              <w:t>4</w:t>
            </w:r>
          </w:p>
        </w:tc>
        <w:tc>
          <w:tcPr>
            <w:tcW w:w="875" w:type="pct"/>
            <w:shd w:val="clear" w:color="auto" w:fill="auto"/>
            <w:noWrap w:val="0"/>
            <w:vAlign w:val="center"/>
          </w:tcPr>
          <w:p>
            <w:pPr>
              <w:rPr>
                <w:rFonts w:hint="eastAsia"/>
                <w:color w:val="auto"/>
                <w:highlight w:val="none"/>
                <w:lang w:eastAsia="zh-CN"/>
              </w:rPr>
            </w:pPr>
            <w:r>
              <w:rPr>
                <w:rFonts w:hint="eastAsia"/>
                <w:color w:val="auto"/>
                <w:highlight w:val="none"/>
                <w:lang w:eastAsia="zh-CN"/>
              </w:rPr>
              <w:t>GB/T 31143-2014</w:t>
            </w:r>
          </w:p>
        </w:tc>
        <w:tc>
          <w:tcPr>
            <w:tcW w:w="1332" w:type="pct"/>
            <w:tcBorders>
              <w:right w:val="single" w:color="auto" w:sz="4" w:space="0"/>
            </w:tcBorders>
            <w:shd w:val="clear" w:color="auto" w:fill="auto"/>
            <w:noWrap w:val="0"/>
            <w:vAlign w:val="center"/>
          </w:tcPr>
          <w:p>
            <w:pPr>
              <w:rPr>
                <w:rFonts w:hint="eastAsia"/>
                <w:color w:val="auto"/>
                <w:highlight w:val="none"/>
                <w:lang w:eastAsia="zh-CN"/>
              </w:rPr>
            </w:pPr>
            <w:r>
              <w:rPr>
                <w:rFonts w:hint="eastAsia"/>
                <w:color w:val="auto"/>
                <w:highlight w:val="none"/>
                <w:lang w:eastAsia="zh-CN"/>
              </w:rPr>
              <w:fldChar w:fldCharType="begin">
                <w:ffData>
                  <w:enabled/>
                  <w:calcOnExit w:val="0"/>
                  <w:textInput>
                    <w:default w:val="电弧故障保护电器（AFDD）的一般要求"/>
                  </w:textInput>
                </w:ffData>
              </w:fldChar>
            </w:r>
            <w:r>
              <w:rPr>
                <w:rFonts w:hint="eastAsia"/>
                <w:color w:val="auto"/>
                <w:highlight w:val="none"/>
                <w:lang w:eastAsia="zh-CN"/>
              </w:rPr>
              <w:instrText xml:space="preserve"> FORMTEXT </w:instrText>
            </w:r>
            <w:r>
              <w:rPr>
                <w:rFonts w:hint="eastAsia"/>
                <w:color w:val="auto"/>
                <w:highlight w:val="none"/>
                <w:lang w:eastAsia="zh-CN"/>
              </w:rPr>
              <w:fldChar w:fldCharType="separate"/>
            </w:r>
            <w:r>
              <w:rPr>
                <w:rFonts w:hint="eastAsia"/>
                <w:color w:val="auto"/>
                <w:highlight w:val="none"/>
                <w:lang w:eastAsia="zh-CN"/>
              </w:rPr>
              <w:t>电弧故障保护电器（AFDD）的一般要求</w:t>
            </w:r>
            <w:r>
              <w:rPr>
                <w:rFonts w:hint="eastAsia"/>
                <w:color w:val="auto"/>
                <w:highlight w:val="none"/>
                <w:lang w:eastAsia="zh-CN"/>
              </w:rPr>
              <w:fldChar w:fldCharType="end"/>
            </w:r>
          </w:p>
        </w:tc>
        <w:tc>
          <w:tcPr>
            <w:tcW w:w="567" w:type="pct"/>
            <w:tcBorders>
              <w:left w:val="single" w:color="auto" w:sz="4" w:space="0"/>
              <w:righ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9.9.5</w:t>
            </w:r>
            <w:bookmarkStart w:id="0" w:name="_GoBack"/>
            <w:bookmarkEnd w:id="0"/>
          </w:p>
        </w:tc>
        <w:tc>
          <w:tcPr>
            <w:tcW w:w="1901" w:type="pct"/>
            <w:tcBorders>
              <w:left w:val="single" w:color="auto" w:sz="4" w:space="0"/>
            </w:tcBorders>
            <w:noWrap w:val="0"/>
            <w:vAlign w:val="center"/>
          </w:tcPr>
          <w:p>
            <w:pPr>
              <w:rPr>
                <w:rFonts w:hint="eastAsia"/>
                <w:color w:val="auto"/>
                <w:highlight w:val="none"/>
                <w:lang w:eastAsia="zh-CN"/>
              </w:rPr>
            </w:pPr>
            <w:r>
              <w:rPr>
                <w:rFonts w:hint="eastAsia"/>
                <w:color w:val="auto"/>
                <w:highlight w:val="none"/>
                <w:lang w:eastAsia="zh-CN"/>
              </w:rPr>
              <w:t>误脱扣</w:t>
            </w:r>
          </w:p>
        </w:tc>
      </w:tr>
    </w:tbl>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r>
        <w:rPr>
          <w:rFonts w:hint="eastAsia"/>
          <w:color w:val="auto"/>
          <w:highlight w:val="none"/>
          <w:lang w:eastAsia="zh-CN"/>
        </w:rPr>
        <w:t>1.2  主要技术要求</w:t>
      </w:r>
    </w:p>
    <w:p>
      <w:pPr>
        <w:rPr>
          <w:rFonts w:hint="eastAsia"/>
          <w:color w:val="auto"/>
          <w:highlight w:val="none"/>
          <w:lang w:eastAsia="zh-CN"/>
        </w:rPr>
      </w:pPr>
      <w:r>
        <w:rPr>
          <w:rFonts w:hint="eastAsia"/>
          <w:color w:val="auto"/>
          <w:highlight w:val="none"/>
          <w:lang w:eastAsia="zh-CN"/>
        </w:rPr>
        <w:t>1.2.1  主要技术指标要求</w:t>
      </w:r>
    </w:p>
    <w:p>
      <w:pPr>
        <w:rPr>
          <w:rFonts w:hint="eastAsia"/>
          <w:color w:val="auto"/>
          <w:highlight w:val="none"/>
          <w:lang w:eastAsia="zh-CN"/>
        </w:rPr>
      </w:pPr>
      <w:r>
        <w:rPr>
          <w:rFonts w:hint="eastAsia"/>
          <w:color w:val="auto"/>
          <w:highlight w:val="none"/>
          <w:lang w:eastAsia="zh-CN"/>
        </w:rPr>
        <w:t>（1）★实验能力：串联电弧试验（3～63A 230V/50Hz）、并联电弧试验（75～500A 230V/50Hz），63A及以下电流为长期工作制，75～500A电流为短时工作制，通电时间不少于2s；</w:t>
      </w:r>
    </w:p>
    <w:p>
      <w:pPr>
        <w:rPr>
          <w:rFonts w:hint="eastAsia"/>
          <w:color w:val="auto"/>
          <w:highlight w:val="none"/>
          <w:lang w:eastAsia="zh-CN"/>
        </w:rPr>
      </w:pPr>
      <w:r>
        <w:rPr>
          <w:rFonts w:hint="eastAsia"/>
          <w:color w:val="auto"/>
          <w:highlight w:val="none"/>
          <w:lang w:eastAsia="zh-CN"/>
        </w:rPr>
        <w:t>（2）★电源精度：电压精度为±2%，电流精度为±5%；</w:t>
      </w:r>
    </w:p>
    <w:p>
      <w:pPr>
        <w:rPr>
          <w:rFonts w:hint="eastAsia"/>
          <w:color w:val="auto"/>
          <w:highlight w:val="none"/>
          <w:lang w:eastAsia="zh-CN"/>
        </w:rPr>
      </w:pPr>
      <w:r>
        <w:rPr>
          <w:rFonts w:hint="eastAsia"/>
          <w:color w:val="auto"/>
          <w:highlight w:val="none"/>
          <w:lang w:eastAsia="zh-CN"/>
        </w:rPr>
        <w:t>（3）★采样频率：不小于500kHz/s；</w:t>
      </w:r>
    </w:p>
    <w:p>
      <w:pPr>
        <w:rPr>
          <w:rFonts w:hint="eastAsia"/>
          <w:color w:val="auto"/>
          <w:highlight w:val="none"/>
          <w:lang w:eastAsia="zh-CN"/>
        </w:rPr>
      </w:pPr>
      <w:r>
        <w:rPr>
          <w:rFonts w:hint="eastAsia"/>
          <w:color w:val="auto"/>
          <w:highlight w:val="none"/>
          <w:lang w:eastAsia="zh-CN"/>
        </w:rPr>
        <w:t>（4）★采样精度：电压及电流的采样精度小于±1%，时间记录精度在1s及以上时小于±1%，200ms～1s时小于±10ms，在10ms～200ms时小于±1ms。</w:t>
      </w:r>
    </w:p>
    <w:p>
      <w:pPr>
        <w:rPr>
          <w:rFonts w:hint="eastAsia"/>
          <w:color w:val="auto"/>
          <w:highlight w:val="none"/>
          <w:lang w:eastAsia="zh-CN"/>
        </w:rPr>
      </w:pPr>
      <w:r>
        <w:rPr>
          <w:rFonts w:hint="eastAsia"/>
          <w:color w:val="auto"/>
          <w:highlight w:val="none"/>
          <w:lang w:eastAsia="zh-CN"/>
        </w:rPr>
        <w:t>（5）★碳化电缆功能：能够完成7.5kV及2.5kV条件下的电缆碳化，回路自动切换；</w:t>
      </w:r>
    </w:p>
    <w:p>
      <w:pPr>
        <w:rPr>
          <w:rFonts w:hint="eastAsia"/>
          <w:color w:val="auto"/>
          <w:highlight w:val="none"/>
          <w:lang w:eastAsia="zh-CN"/>
        </w:rPr>
      </w:pPr>
      <w:r>
        <w:rPr>
          <w:rFonts w:hint="eastAsia"/>
          <w:color w:val="auto"/>
          <w:highlight w:val="none"/>
          <w:lang w:eastAsia="zh-CN"/>
        </w:rPr>
        <w:t>（6）★电弧发生功能：具备产生电弧发生器；</w:t>
      </w:r>
    </w:p>
    <w:p>
      <w:pPr>
        <w:rPr>
          <w:rFonts w:hint="eastAsia"/>
          <w:color w:val="auto"/>
          <w:highlight w:val="none"/>
          <w:lang w:eastAsia="zh-CN"/>
        </w:rPr>
      </w:pPr>
      <w:r>
        <w:rPr>
          <w:rFonts w:hint="eastAsia"/>
          <w:color w:val="auto"/>
          <w:highlight w:val="none"/>
          <w:lang w:eastAsia="zh-CN"/>
        </w:rPr>
        <w:t>（7）适应环境：环境温度-5℃～+40℃，相对湿度点：＋40℃时不超过 50％，＋20℃时不超过90％；</w:t>
      </w:r>
    </w:p>
    <w:p>
      <w:pPr>
        <w:rPr>
          <w:rFonts w:hint="eastAsia"/>
          <w:color w:val="auto"/>
          <w:highlight w:val="none"/>
          <w:lang w:eastAsia="zh-CN"/>
        </w:rPr>
      </w:pPr>
      <w:r>
        <w:rPr>
          <w:rFonts w:hint="eastAsia"/>
          <w:color w:val="auto"/>
          <w:highlight w:val="none"/>
          <w:lang w:eastAsia="zh-CN"/>
        </w:rPr>
        <w:t>（8）设备防护等级：IP30；</w:t>
      </w:r>
    </w:p>
    <w:p>
      <w:pPr>
        <w:rPr>
          <w:rFonts w:hint="eastAsia"/>
          <w:color w:val="auto"/>
          <w:highlight w:val="none"/>
          <w:lang w:eastAsia="zh-CN"/>
        </w:rPr>
      </w:pPr>
      <w:r>
        <w:rPr>
          <w:rFonts w:hint="eastAsia"/>
          <w:color w:val="auto"/>
          <w:highlight w:val="none"/>
          <w:lang w:eastAsia="zh-CN"/>
        </w:rPr>
        <w:t>1.2.2  供电及功耗要求</w:t>
      </w:r>
    </w:p>
    <w:p>
      <w:pPr>
        <w:rPr>
          <w:rFonts w:hint="eastAsia"/>
          <w:color w:val="auto"/>
          <w:highlight w:val="none"/>
          <w:lang w:eastAsia="zh-CN"/>
        </w:rPr>
      </w:pPr>
      <w:r>
        <w:rPr>
          <w:rFonts w:hint="eastAsia"/>
          <w:color w:val="auto"/>
          <w:highlight w:val="none"/>
          <w:lang w:eastAsia="zh-CN"/>
        </w:rPr>
        <w:t>380V/50Hz</w:t>
      </w:r>
    </w:p>
    <w:p>
      <w:pPr>
        <w:rPr>
          <w:rFonts w:hint="eastAsia"/>
          <w:color w:val="auto"/>
          <w:highlight w:val="none"/>
          <w:lang w:eastAsia="zh-CN"/>
        </w:rPr>
      </w:pPr>
      <w:r>
        <w:rPr>
          <w:rFonts w:hint="eastAsia"/>
          <w:color w:val="auto"/>
          <w:highlight w:val="none"/>
          <w:lang w:eastAsia="zh-CN"/>
        </w:rPr>
        <w:t>2  应交付的产品</w:t>
      </w:r>
    </w:p>
    <w:p>
      <w:pPr>
        <w:rPr>
          <w:rFonts w:hint="eastAsia"/>
          <w:color w:val="auto"/>
          <w:highlight w:val="none"/>
          <w:lang w:eastAsia="zh-CN"/>
        </w:rPr>
      </w:pPr>
      <w:r>
        <w:rPr>
          <w:rFonts w:hint="eastAsia"/>
          <w:color w:val="auto"/>
          <w:highlight w:val="none"/>
          <w:lang w:eastAsia="zh-CN"/>
        </w:rPr>
        <w:t>产品配套表</w:t>
      </w:r>
    </w:p>
    <w:tbl>
      <w:tblPr>
        <w:tblStyle w:val="13"/>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6"/>
        <w:gridCol w:w="3059"/>
        <w:gridCol w:w="1098"/>
        <w:gridCol w:w="3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6" w:type="dxa"/>
            <w:tcBorders>
              <w:top w:val="single" w:color="auto" w:sz="12" w:space="0"/>
              <w:bottom w:val="single" w:color="auto" w:sz="12" w:space="0"/>
              <w:right w:val="single" w:color="auto" w:sz="4" w:space="0"/>
            </w:tcBorders>
            <w:noWrap w:val="0"/>
            <w:vAlign w:val="top"/>
          </w:tcPr>
          <w:p>
            <w:pPr>
              <w:rPr>
                <w:rFonts w:hint="eastAsia"/>
                <w:color w:val="auto"/>
                <w:highlight w:val="none"/>
                <w:lang w:eastAsia="zh-CN"/>
              </w:rPr>
            </w:pPr>
            <w:r>
              <w:rPr>
                <w:rFonts w:hint="eastAsia"/>
                <w:color w:val="auto"/>
                <w:highlight w:val="none"/>
                <w:lang w:eastAsia="zh-CN"/>
              </w:rPr>
              <w:t>序号</w:t>
            </w:r>
          </w:p>
        </w:tc>
        <w:tc>
          <w:tcPr>
            <w:tcW w:w="3059" w:type="dxa"/>
            <w:tcBorders>
              <w:top w:val="single" w:color="auto" w:sz="12" w:space="0"/>
              <w:left w:val="single" w:color="auto" w:sz="4" w:space="0"/>
              <w:bottom w:val="single" w:color="auto" w:sz="12" w:space="0"/>
            </w:tcBorders>
            <w:noWrap w:val="0"/>
            <w:vAlign w:val="top"/>
          </w:tcPr>
          <w:p>
            <w:pPr>
              <w:rPr>
                <w:rFonts w:hint="eastAsia"/>
                <w:color w:val="auto"/>
                <w:highlight w:val="none"/>
                <w:lang w:eastAsia="zh-CN"/>
              </w:rPr>
            </w:pPr>
            <w:r>
              <w:rPr>
                <w:rFonts w:hint="eastAsia"/>
                <w:color w:val="auto"/>
                <w:highlight w:val="none"/>
                <w:lang w:eastAsia="zh-CN"/>
              </w:rPr>
              <w:t>名称</w:t>
            </w:r>
          </w:p>
        </w:tc>
        <w:tc>
          <w:tcPr>
            <w:tcW w:w="1098" w:type="dxa"/>
            <w:tcBorders>
              <w:top w:val="single" w:color="auto" w:sz="12" w:space="0"/>
              <w:bottom w:val="single" w:color="auto" w:sz="12" w:space="0"/>
            </w:tcBorders>
            <w:noWrap w:val="0"/>
            <w:vAlign w:val="top"/>
          </w:tcPr>
          <w:p>
            <w:pPr>
              <w:rPr>
                <w:rFonts w:hint="eastAsia"/>
                <w:color w:val="auto"/>
                <w:highlight w:val="none"/>
                <w:lang w:eastAsia="zh-CN"/>
              </w:rPr>
            </w:pPr>
            <w:r>
              <w:rPr>
                <w:rFonts w:hint="eastAsia"/>
                <w:color w:val="auto"/>
                <w:highlight w:val="none"/>
                <w:lang w:eastAsia="zh-CN"/>
              </w:rPr>
              <w:t>数量</w:t>
            </w:r>
          </w:p>
        </w:tc>
        <w:tc>
          <w:tcPr>
            <w:tcW w:w="3489" w:type="dxa"/>
            <w:tcBorders>
              <w:top w:val="single" w:color="auto" w:sz="12" w:space="0"/>
              <w:bottom w:val="single" w:color="auto" w:sz="12" w:space="0"/>
            </w:tcBorders>
            <w:noWrap w:val="0"/>
            <w:vAlign w:val="top"/>
          </w:tcPr>
          <w:p>
            <w:pPr>
              <w:rPr>
                <w:rFonts w:hint="eastAsia"/>
                <w:color w:val="auto"/>
                <w:highlight w:val="none"/>
                <w:lang w:eastAsia="zh-CN"/>
              </w:rPr>
            </w:pPr>
            <w:r>
              <w:rPr>
                <w:rFonts w:hint="eastAsia"/>
                <w:color w:val="auto"/>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6" w:type="dxa"/>
            <w:tcBorders>
              <w:top w:val="single" w:color="auto" w:sz="12" w:space="0"/>
              <w:bottom w:val="single" w:color="auto" w:sz="2" w:space="0"/>
              <w:right w:val="single" w:color="auto" w:sz="2" w:space="0"/>
            </w:tcBorders>
            <w:noWrap w:val="0"/>
            <w:vAlign w:val="center"/>
          </w:tcPr>
          <w:p>
            <w:pPr>
              <w:rPr>
                <w:rFonts w:hint="eastAsia"/>
                <w:color w:val="auto"/>
                <w:highlight w:val="none"/>
                <w:lang w:eastAsia="zh-CN"/>
              </w:rPr>
            </w:pPr>
          </w:p>
        </w:tc>
        <w:tc>
          <w:tcPr>
            <w:tcW w:w="3059" w:type="dxa"/>
            <w:tcBorders>
              <w:top w:val="single" w:color="auto" w:sz="12" w:space="0"/>
              <w:left w:val="single" w:color="auto" w:sz="2" w:space="0"/>
              <w:bottom w:val="single" w:color="auto" w:sz="2" w:space="0"/>
              <w:right w:val="single" w:color="auto" w:sz="2" w:space="0"/>
            </w:tcBorders>
            <w:noWrap w:val="0"/>
            <w:vAlign w:val="center"/>
          </w:tcPr>
          <w:p>
            <w:pPr>
              <w:rPr>
                <w:rFonts w:hint="eastAsia"/>
                <w:color w:val="auto"/>
                <w:highlight w:val="none"/>
                <w:lang w:eastAsia="zh-CN"/>
              </w:rPr>
            </w:pPr>
            <w:r>
              <w:rPr>
                <w:rFonts w:hint="eastAsia"/>
                <w:color w:val="auto"/>
                <w:highlight w:val="none"/>
                <w:lang w:eastAsia="zh-CN"/>
              </w:rPr>
              <w:t>产品整机</w:t>
            </w:r>
          </w:p>
        </w:tc>
        <w:tc>
          <w:tcPr>
            <w:tcW w:w="1098" w:type="dxa"/>
            <w:tcBorders>
              <w:top w:val="single" w:color="auto" w:sz="12" w:space="0"/>
              <w:left w:val="single" w:color="auto" w:sz="2" w:space="0"/>
              <w:bottom w:val="single" w:color="auto" w:sz="2" w:space="0"/>
              <w:right w:val="single" w:color="auto" w:sz="2" w:space="0"/>
            </w:tcBorders>
            <w:noWrap w:val="0"/>
            <w:vAlign w:val="center"/>
          </w:tcPr>
          <w:p>
            <w:pPr>
              <w:rPr>
                <w:rFonts w:hint="eastAsia"/>
                <w:color w:val="auto"/>
                <w:highlight w:val="none"/>
                <w:lang w:eastAsia="zh-CN"/>
              </w:rPr>
            </w:pPr>
            <w:r>
              <w:rPr>
                <w:rFonts w:hint="eastAsia"/>
                <w:color w:val="auto"/>
                <w:highlight w:val="none"/>
                <w:lang w:eastAsia="zh-CN"/>
              </w:rPr>
              <w:t>1</w:t>
            </w:r>
          </w:p>
        </w:tc>
        <w:tc>
          <w:tcPr>
            <w:tcW w:w="3489" w:type="dxa"/>
            <w:tcBorders>
              <w:top w:val="single" w:color="auto" w:sz="12" w:space="0"/>
              <w:left w:val="single" w:color="auto" w:sz="2" w:space="0"/>
              <w:bottom w:val="single" w:color="auto" w:sz="2" w:space="0"/>
            </w:tcBorders>
            <w:noWrap w:val="0"/>
            <w:vAlign w:val="center"/>
          </w:tcPr>
          <w:p>
            <w:pPr>
              <w:rPr>
                <w:rFonts w:hint="eastAsia"/>
                <w:color w:val="auto"/>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76" w:type="dxa"/>
            <w:tcBorders>
              <w:top w:val="single" w:color="auto" w:sz="2" w:space="0"/>
              <w:bottom w:val="single" w:color="auto" w:sz="12" w:space="0"/>
              <w:right w:val="single" w:color="auto" w:sz="2" w:space="0"/>
            </w:tcBorders>
            <w:noWrap w:val="0"/>
            <w:vAlign w:val="center"/>
          </w:tcPr>
          <w:p>
            <w:pPr>
              <w:rPr>
                <w:rFonts w:hint="eastAsia"/>
                <w:color w:val="auto"/>
                <w:highlight w:val="none"/>
                <w:lang w:eastAsia="zh-CN"/>
              </w:rPr>
            </w:pPr>
          </w:p>
        </w:tc>
        <w:tc>
          <w:tcPr>
            <w:tcW w:w="3059" w:type="dxa"/>
            <w:tcBorders>
              <w:top w:val="single" w:color="auto" w:sz="2" w:space="0"/>
              <w:left w:val="single" w:color="auto" w:sz="2" w:space="0"/>
              <w:bottom w:val="single" w:color="auto" w:sz="12" w:space="0"/>
              <w:right w:val="single" w:color="auto" w:sz="2" w:space="0"/>
            </w:tcBorders>
            <w:noWrap w:val="0"/>
            <w:vAlign w:val="center"/>
          </w:tcPr>
          <w:p>
            <w:pPr>
              <w:rPr>
                <w:rFonts w:hint="eastAsia"/>
                <w:color w:val="auto"/>
                <w:highlight w:val="none"/>
                <w:lang w:eastAsia="zh-CN"/>
              </w:rPr>
            </w:pPr>
            <w:r>
              <w:rPr>
                <w:rFonts w:hint="eastAsia"/>
                <w:color w:val="auto"/>
                <w:highlight w:val="none"/>
                <w:lang w:eastAsia="zh-CN"/>
              </w:rPr>
              <w:t>配套备件</w:t>
            </w:r>
          </w:p>
        </w:tc>
        <w:tc>
          <w:tcPr>
            <w:tcW w:w="1098" w:type="dxa"/>
            <w:tcBorders>
              <w:top w:val="single" w:color="auto" w:sz="2" w:space="0"/>
              <w:left w:val="single" w:color="auto" w:sz="2" w:space="0"/>
              <w:bottom w:val="single" w:color="auto" w:sz="12" w:space="0"/>
              <w:right w:val="single" w:color="auto" w:sz="2" w:space="0"/>
            </w:tcBorders>
            <w:noWrap w:val="0"/>
            <w:vAlign w:val="center"/>
          </w:tcPr>
          <w:p>
            <w:pPr>
              <w:rPr>
                <w:rFonts w:hint="eastAsia"/>
                <w:color w:val="auto"/>
                <w:highlight w:val="none"/>
                <w:lang w:eastAsia="zh-CN"/>
              </w:rPr>
            </w:pPr>
            <w:r>
              <w:rPr>
                <w:rFonts w:hint="eastAsia"/>
                <w:color w:val="auto"/>
                <w:highlight w:val="none"/>
                <w:lang w:eastAsia="zh-CN"/>
              </w:rPr>
              <w:t>1</w:t>
            </w:r>
          </w:p>
        </w:tc>
        <w:tc>
          <w:tcPr>
            <w:tcW w:w="3489" w:type="dxa"/>
            <w:tcBorders>
              <w:top w:val="single" w:color="auto" w:sz="2" w:space="0"/>
              <w:left w:val="single" w:color="auto" w:sz="2" w:space="0"/>
              <w:bottom w:val="single" w:color="auto" w:sz="12" w:space="0"/>
            </w:tcBorders>
            <w:noWrap w:val="0"/>
            <w:vAlign w:val="center"/>
          </w:tcPr>
          <w:p>
            <w:pPr>
              <w:rPr>
                <w:rFonts w:hint="eastAsia"/>
                <w:color w:val="auto"/>
                <w:highlight w:val="none"/>
                <w:lang w:eastAsia="zh-CN"/>
              </w:rPr>
            </w:pPr>
            <w:r>
              <w:rPr>
                <w:rFonts w:hint="eastAsia"/>
                <w:color w:val="auto"/>
                <w:highlight w:val="none"/>
                <w:lang w:eastAsia="zh-CN"/>
              </w:rPr>
              <w:t>-</w:t>
            </w:r>
          </w:p>
        </w:tc>
      </w:tr>
    </w:tbl>
    <w:p>
      <w:pPr>
        <w:rPr>
          <w:rFonts w:hint="eastAsia"/>
          <w:color w:val="auto"/>
          <w:highlight w:val="none"/>
          <w:lang w:eastAsia="zh-CN"/>
        </w:rPr>
      </w:pPr>
      <w:r>
        <w:rPr>
          <w:rFonts w:hint="eastAsia"/>
          <w:color w:val="auto"/>
          <w:highlight w:val="none"/>
          <w:lang w:eastAsia="zh-CN"/>
        </w:rPr>
        <w:t>3  技术支持与用户培训</w:t>
      </w:r>
    </w:p>
    <w:p>
      <w:pPr>
        <w:rPr>
          <w:rFonts w:hint="eastAsia"/>
          <w:color w:val="auto"/>
          <w:highlight w:val="none"/>
          <w:lang w:eastAsia="zh-CN"/>
        </w:rPr>
      </w:pPr>
      <w:r>
        <w:rPr>
          <w:rFonts w:hint="eastAsia"/>
          <w:color w:val="auto"/>
          <w:highlight w:val="none"/>
          <w:lang w:eastAsia="zh-CN"/>
        </w:rPr>
        <w:t>3.1  技术支持</w:t>
      </w:r>
    </w:p>
    <w:p>
      <w:pPr>
        <w:rPr>
          <w:rFonts w:hint="eastAsia"/>
          <w:color w:val="auto"/>
          <w:highlight w:val="none"/>
          <w:lang w:eastAsia="zh-CN"/>
        </w:rPr>
      </w:pPr>
      <w:r>
        <w:rPr>
          <w:rFonts w:hint="eastAsia"/>
          <w:color w:val="auto"/>
          <w:highlight w:val="none"/>
          <w:lang w:eastAsia="zh-CN"/>
        </w:rPr>
        <w:t>乙方将提供包括现场服务、电话、电子邮件等技术支持服务，对甲方的技术请求，乙方应在72小时内响应，必要时应及时指派技术人员到甲方现场。</w:t>
      </w:r>
    </w:p>
    <w:p>
      <w:pPr>
        <w:rPr>
          <w:rFonts w:hint="eastAsia"/>
          <w:color w:val="auto"/>
          <w:highlight w:val="none"/>
          <w:lang w:eastAsia="zh-CN"/>
        </w:rPr>
      </w:pPr>
      <w:r>
        <w:rPr>
          <w:rFonts w:hint="eastAsia"/>
          <w:color w:val="auto"/>
          <w:highlight w:val="none"/>
          <w:lang w:eastAsia="zh-CN"/>
        </w:rPr>
        <w:t>3.2  用户培训</w:t>
      </w:r>
    </w:p>
    <w:p>
      <w:pPr>
        <w:rPr>
          <w:rFonts w:hint="eastAsia"/>
          <w:color w:val="auto"/>
          <w:highlight w:val="none"/>
          <w:lang w:eastAsia="zh-CN"/>
        </w:rPr>
      </w:pPr>
      <w:r>
        <w:rPr>
          <w:rFonts w:hint="eastAsia"/>
          <w:color w:val="auto"/>
          <w:highlight w:val="none"/>
          <w:lang w:eastAsia="zh-CN"/>
        </w:rPr>
        <w:t>合同生效后，乙方为甲方提供用户现场支持，培训时间由甲方向乙方提出培训需要。在产品开发过程中，乙方有义务为甲方相关员工提供技术培训。产品质保期为一年，在产品质保期内，乙方为甲方提供后续技术服务，须协助甲方解决在测试和使用过程中遇到的相关技术问题。</w:t>
      </w:r>
    </w:p>
    <w:p>
      <w:pPr>
        <w:rPr>
          <w:rFonts w:hint="eastAsia"/>
          <w:color w:val="auto"/>
          <w:highlight w:val="none"/>
          <w:lang w:eastAsia="zh-CN"/>
        </w:rPr>
      </w:pPr>
      <w:r>
        <w:rPr>
          <w:rFonts w:hint="eastAsia"/>
          <w:color w:val="auto"/>
          <w:highlight w:val="none"/>
          <w:lang w:eastAsia="zh-CN"/>
        </w:rPr>
        <w:t>培训内容：试验分析系统的操作、简单故障处理；</w:t>
      </w:r>
    </w:p>
    <w:p>
      <w:pPr>
        <w:rPr>
          <w:rFonts w:hint="eastAsia"/>
          <w:color w:val="auto"/>
          <w:highlight w:val="none"/>
          <w:lang w:eastAsia="zh-CN"/>
        </w:rPr>
      </w:pPr>
      <w:r>
        <w:rPr>
          <w:rFonts w:hint="eastAsia"/>
          <w:color w:val="auto"/>
          <w:highlight w:val="none"/>
          <w:lang w:eastAsia="zh-CN"/>
        </w:rPr>
        <w:t>培训人员：由甲方指派专人参加，人数1~3人；</w:t>
      </w:r>
    </w:p>
    <w:p>
      <w:pPr>
        <w:rPr>
          <w:rFonts w:hint="eastAsia"/>
          <w:color w:val="auto"/>
          <w:highlight w:val="none"/>
          <w:lang w:eastAsia="zh-CN"/>
        </w:rPr>
      </w:pPr>
      <w:r>
        <w:rPr>
          <w:rFonts w:hint="eastAsia"/>
          <w:color w:val="auto"/>
          <w:highlight w:val="none"/>
          <w:lang w:eastAsia="zh-CN"/>
        </w:rPr>
        <w:t>培训地点：由乙方负责，要求地点相对封闭。</w:t>
      </w:r>
    </w:p>
    <w:p>
      <w:pPr>
        <w:rPr>
          <w:rFonts w:hint="eastAsia"/>
          <w:color w:val="auto"/>
          <w:highlight w:val="none"/>
          <w:lang w:eastAsia="zh-CN"/>
        </w:rPr>
      </w:pPr>
      <w:r>
        <w:rPr>
          <w:rFonts w:hint="eastAsia"/>
          <w:color w:val="auto"/>
          <w:highlight w:val="none"/>
          <w:lang w:eastAsia="zh-CN"/>
        </w:rPr>
        <w:t>4  协议变更规定</w:t>
      </w:r>
    </w:p>
    <w:p>
      <w:pPr>
        <w:rPr>
          <w:rFonts w:hint="eastAsia"/>
          <w:color w:val="auto"/>
          <w:highlight w:val="none"/>
          <w:lang w:eastAsia="zh-CN"/>
        </w:rPr>
      </w:pPr>
      <w:r>
        <w:rPr>
          <w:rFonts w:hint="eastAsia"/>
          <w:color w:val="auto"/>
          <w:highlight w:val="none"/>
          <w:lang w:eastAsia="zh-CN"/>
        </w:rPr>
        <w:t>经双方共同评审或签署的研制方案或图纸等相关技术文件需要变更时，乙方应以书面形式通知甲方。凡涉及影响产品技术指标、性能、接口关系和环境适应性等方面的技术状态更改，应编制专项更改论证报告，说明更改原因、验证结果、影响分析，对在制品、已交付产品的影响及处理意见等，并组织技术状态更改评审，评审通过后方可实施。</w:t>
      </w:r>
    </w:p>
    <w:p>
      <w:pPr>
        <w:rPr>
          <w:rFonts w:hint="eastAsia"/>
          <w:color w:val="auto"/>
          <w:highlight w:val="none"/>
          <w:lang w:eastAsia="zh-CN"/>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22"/>
      <w:suff w:val="nothing"/>
      <w:lvlText w:val="表%1　"/>
      <w:lvlJc w:val="left"/>
      <w:pPr>
        <w:ind w:left="0" w:firstLine="0"/>
      </w:pPr>
      <w:rPr>
        <w:rFonts w:hint="eastAsia" w:ascii="黑体" w:hAnsi="Times New Roman" w:eastAsia="黑体"/>
        <w:b w:val="0"/>
        <w:i w:val="0"/>
        <w:color w:val="auto"/>
        <w:sz w:val="24"/>
        <w:szCs w:val="24"/>
        <w:u w:val="none"/>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18B0"/>
    <w:rsid w:val="16A31AE7"/>
    <w:rsid w:val="1A2D3422"/>
    <w:rsid w:val="221A4D49"/>
    <w:rsid w:val="321D3448"/>
    <w:rsid w:val="36F52F5D"/>
    <w:rsid w:val="38345747"/>
    <w:rsid w:val="40BE3E26"/>
    <w:rsid w:val="48A00216"/>
    <w:rsid w:val="5895711B"/>
    <w:rsid w:val="58C1598C"/>
    <w:rsid w:val="5D7F698B"/>
    <w:rsid w:val="5E7D6FE8"/>
    <w:rsid w:val="61560803"/>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outlineLvl w:val="1"/>
    </w:pPr>
    <w:rPr>
      <w:rFonts w:ascii="Arial" w:hAnsi="Arial" w:eastAsia="黑体"/>
      <w:bCs/>
      <w:sz w:val="28"/>
      <w:szCs w:val="32"/>
    </w:rPr>
  </w:style>
  <w:style w:type="paragraph" w:styleId="4">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spacing w:line="360" w:lineRule="auto"/>
      <w:ind w:firstLine="420"/>
    </w:pPr>
    <w:rPr>
      <w:rFonts w:ascii="Calibri" w:hAnsi="Calibri"/>
      <w:sz w:val="24"/>
      <w:szCs w:val="20"/>
    </w:rPr>
  </w:style>
  <w:style w:type="paragraph" w:styleId="6">
    <w:name w:val="Body Text"/>
    <w:basedOn w:val="1"/>
    <w:qFormat/>
    <w:uiPriority w:val="0"/>
    <w:pPr>
      <w:widowControl/>
      <w:jc w:val="left"/>
    </w:pPr>
    <w:rPr>
      <w:rFonts w:ascii="宋体" w:hAnsi="宋体"/>
      <w:b/>
      <w:bCs/>
      <w:sz w:val="24"/>
      <w:szCs w:val="20"/>
    </w:rPr>
  </w:style>
  <w:style w:type="paragraph" w:styleId="7">
    <w:name w:val="Plain Text"/>
    <w:basedOn w:val="1"/>
    <w:next w:val="8"/>
    <w:qFormat/>
    <w:uiPriority w:val="0"/>
    <w:pPr>
      <w:spacing w:line="240" w:lineRule="auto"/>
    </w:pPr>
    <w:rPr>
      <w:rFonts w:ascii="宋体" w:hAnsi="Times New Roman" w:eastAsia="宋体"/>
      <w:kern w:val="0"/>
      <w:sz w:val="21"/>
      <w:szCs w:val="20"/>
    </w:rPr>
  </w:style>
  <w:style w:type="paragraph" w:styleId="8">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spacing w:line="312" w:lineRule="auto"/>
      <w:ind w:firstLine="420"/>
    </w:pPr>
    <w:rPr>
      <w:rFonts w:ascii="Times New Roman" w:hAnsi="Times New Roman"/>
      <w:szCs w:val="24"/>
    </w:rPr>
  </w:style>
  <w:style w:type="paragraph" w:customStyle="1" w:styleId="1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列出段落1"/>
    <w:basedOn w:val="1"/>
    <w:qFormat/>
    <w:uiPriority w:val="0"/>
    <w:pPr>
      <w:ind w:firstLine="420" w:firstLineChars="200"/>
    </w:pPr>
  </w:style>
  <w:style w:type="paragraph" w:customStyle="1" w:styleId="17">
    <w:name w:val="列出段落2"/>
    <w:basedOn w:val="1"/>
    <w:unhideWhenUsed/>
    <w:qFormat/>
    <w:uiPriority w:val="99"/>
    <w:pPr>
      <w:ind w:firstLine="420" w:firstLineChars="200"/>
    </w:pPr>
  </w:style>
  <w:style w:type="paragraph" w:customStyle="1" w:styleId="18">
    <w:name w:val="单位"/>
    <w:basedOn w:val="1"/>
    <w:qFormat/>
    <w:uiPriority w:val="0"/>
    <w:pPr>
      <w:tabs>
        <w:tab w:val="left" w:pos="6300"/>
      </w:tabs>
      <w:spacing w:line="528" w:lineRule="exact"/>
      <w:jc w:val="center"/>
    </w:pPr>
    <w:rPr>
      <w:rFonts w:ascii="等线" w:hAnsi="等线" w:eastAsia="楷体_GB2312" w:cs="Times New Roman"/>
      <w:sz w:val="30"/>
      <w:szCs w:val="30"/>
    </w:rPr>
  </w:style>
  <w:style w:type="paragraph" w:styleId="19">
    <w:name w:val="List Paragraph"/>
    <w:basedOn w:val="1"/>
    <w:qFormat/>
    <w:uiPriority w:val="34"/>
    <w:pPr>
      <w:ind w:firstLine="420" w:firstLineChars="200"/>
    </w:pPr>
  </w:style>
  <w:style w:type="paragraph" w:customStyle="1" w:styleId="20">
    <w:name w:val="章标题"/>
    <w:next w:val="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正文表标题"/>
    <w:next w:val="23"/>
    <w:qFormat/>
    <w:uiPriority w:val="0"/>
    <w:pPr>
      <w:numPr>
        <w:ilvl w:val="0"/>
        <w:numId w:val="3"/>
      </w:numPr>
      <w:jc w:val="center"/>
    </w:pPr>
    <w:rPr>
      <w:rFonts w:ascii="黑体" w:hAnsi="Calibri" w:eastAsia="黑体" w:cs="Times New Roman"/>
      <w:sz w:val="28"/>
      <w:lang w:val="en-US" w:eastAsia="zh-CN" w:bidi="ar-SA"/>
    </w:rPr>
  </w:style>
  <w:style w:type="paragraph" w:customStyle="1" w:styleId="23">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paragraph" w:customStyle="1" w:styleId="24">
    <w:name w:val="图表内容"/>
    <w:basedOn w:val="1"/>
    <w:qFormat/>
    <w:uiPriority w:val="0"/>
    <w:pPr>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WPS_1627881742</cp:lastModifiedBy>
  <dcterms:modified xsi:type="dcterms:W3CDTF">2021-08-04T05:12:18Z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C5402D6E1224408FA53A7CB31657F867</vt:lpwstr>
  </property>
</Properties>
</file>