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采购人需求</w:t>
      </w:r>
    </w:p>
    <w:p>
      <w:pPr>
        <w:bidi w:val="0"/>
        <w:rPr>
          <w:rFonts w:hint="eastAsia" w:ascii="Times New Roman" w:hAnsi="Times New Roman" w:eastAsia="宋体" w:cs="Times New Roman"/>
          <w:kern w:val="2"/>
          <w:sz w:val="21"/>
          <w:szCs w:val="24"/>
          <w:lang w:val="en-US" w:eastAsia="zh-CN" w:bidi="ar-SA"/>
        </w:rPr>
      </w:pPr>
    </w:p>
    <w:p>
      <w:pPr>
        <w:pStyle w:val="4"/>
        <w:numPr>
          <w:ilvl w:val="0"/>
          <w:numId w:val="3"/>
        </w:numPr>
        <w:spacing w:before="0" w:after="0"/>
        <w:ind w:left="210" w:right="210"/>
        <w:rPr>
          <w:color w:val="auto"/>
          <w:highlight w:val="none"/>
        </w:rPr>
      </w:pPr>
      <w:bookmarkStart w:id="0" w:name="_Toc21789"/>
      <w:r>
        <w:rPr>
          <w:rFonts w:hint="eastAsia"/>
          <w:color w:val="auto"/>
          <w:highlight w:val="none"/>
        </w:rPr>
        <w:t>采购人需求</w:t>
      </w:r>
      <w:bookmarkEnd w:id="0"/>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b/>
          <w:color w:val="auto"/>
          <w:kern w:val="2"/>
          <w:sz w:val="24"/>
          <w:szCs w:val="24"/>
          <w:highlight w:val="none"/>
          <w:lang w:val="en-US" w:eastAsia="zh-CN" w:bidi="ar-SA"/>
        </w:rPr>
        <w:t>一、</w:t>
      </w:r>
      <w:r>
        <w:rPr>
          <w:rFonts w:hint="eastAsia" w:ascii="宋体" w:hAnsi="宋体" w:eastAsia="宋体" w:cs="Times New Roman"/>
          <w:b/>
          <w:color w:val="auto"/>
          <w:kern w:val="2"/>
          <w:sz w:val="24"/>
          <w:szCs w:val="24"/>
          <w:highlight w:val="none"/>
          <w:lang w:val="en-US" w:eastAsia="zh-CN" w:bidi="ar-SA"/>
        </w:rPr>
        <w:fldChar w:fldCharType="begin"/>
      </w:r>
      <w:r>
        <w:rPr>
          <w:rFonts w:hint="eastAsia" w:ascii="宋体" w:hAnsi="宋体" w:eastAsia="宋体" w:cs="Times New Roman"/>
          <w:b/>
          <w:color w:val="auto"/>
          <w:kern w:val="2"/>
          <w:sz w:val="24"/>
          <w:szCs w:val="24"/>
          <w:highlight w:val="none"/>
          <w:lang w:val="en-US" w:eastAsia="zh-CN" w:bidi="ar-SA"/>
        </w:rPr>
        <w:instrText xml:space="preserve"> HYPERLINK "http://cgzx.hit.edu.cn/sfw/javascript:void(0)" </w:instrText>
      </w:r>
      <w:r>
        <w:rPr>
          <w:rFonts w:hint="eastAsia" w:ascii="宋体" w:hAnsi="宋体" w:eastAsia="宋体" w:cs="Times New Roman"/>
          <w:b/>
          <w:color w:val="auto"/>
          <w:kern w:val="2"/>
          <w:sz w:val="24"/>
          <w:szCs w:val="24"/>
          <w:highlight w:val="none"/>
          <w:lang w:val="en-US" w:eastAsia="zh-CN" w:bidi="ar-SA"/>
        </w:rPr>
        <w:fldChar w:fldCharType="separate"/>
      </w:r>
      <w:r>
        <w:rPr>
          <w:rFonts w:hint="eastAsia" w:ascii="宋体" w:hAnsi="宋体" w:eastAsia="宋体" w:cs="Times New Roman"/>
          <w:b/>
          <w:color w:val="auto"/>
          <w:kern w:val="2"/>
          <w:sz w:val="24"/>
          <w:szCs w:val="24"/>
          <w:highlight w:val="none"/>
          <w:lang w:val="en-US" w:eastAsia="zh-CN" w:bidi="ar-SA"/>
        </w:rPr>
        <w:t>家具采购需</w:t>
      </w:r>
      <w:r>
        <w:rPr>
          <w:rFonts w:hint="eastAsia" w:ascii="宋体" w:hAnsi="宋体" w:eastAsia="宋体" w:cs="Times New Roman"/>
          <w:b/>
          <w:color w:val="auto"/>
          <w:kern w:val="2"/>
          <w:sz w:val="24"/>
          <w:szCs w:val="24"/>
          <w:highlight w:val="none"/>
          <w:lang w:val="en-US" w:eastAsia="zh-CN" w:bidi="ar-SA"/>
        </w:rPr>
        <w:fldChar w:fldCharType="end"/>
      </w:r>
      <w:r>
        <w:rPr>
          <w:rFonts w:hint="eastAsia" w:ascii="宋体" w:hAnsi="宋体" w:eastAsia="宋体" w:cs="Times New Roman"/>
          <w:b/>
          <w:color w:val="auto"/>
          <w:kern w:val="2"/>
          <w:sz w:val="24"/>
          <w:szCs w:val="24"/>
          <w:highlight w:val="none"/>
          <w:lang w:val="en-US" w:eastAsia="zh-CN" w:bidi="ar-SA"/>
        </w:rPr>
        <w:t>求明细</w:t>
      </w:r>
    </w:p>
    <w:tbl>
      <w:tblPr>
        <w:tblStyle w:val="1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403"/>
        <w:gridCol w:w="960"/>
        <w:gridCol w:w="960"/>
        <w:gridCol w:w="9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标段</w:t>
            </w:r>
          </w:p>
        </w:tc>
        <w:tc>
          <w:tcPr>
            <w:tcW w:w="240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名称</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数量</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单位</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单价</w:t>
            </w:r>
          </w:p>
        </w:tc>
        <w:tc>
          <w:tcPr>
            <w:tcW w:w="21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sz w:val="24"/>
                <w:szCs w:val="24"/>
                <w:highlight w:val="none"/>
                <w:lang w:val="en-US" w:eastAsia="zh-CN"/>
              </w:rPr>
              <w:t>第一标段</w:t>
            </w:r>
          </w:p>
        </w:tc>
        <w:tc>
          <w:tcPr>
            <w:tcW w:w="240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上床下桌家具</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1720</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套</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2520</w:t>
            </w:r>
          </w:p>
        </w:tc>
        <w:tc>
          <w:tcPr>
            <w:tcW w:w="21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top"/>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4334400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第二标段</w:t>
            </w:r>
          </w:p>
        </w:tc>
        <w:tc>
          <w:tcPr>
            <w:tcW w:w="240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上床下桌家具</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1720</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套</w:t>
            </w:r>
          </w:p>
        </w:tc>
        <w:tc>
          <w:tcPr>
            <w:tcW w:w="9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top"/>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2520</w:t>
            </w:r>
          </w:p>
        </w:tc>
        <w:tc>
          <w:tcPr>
            <w:tcW w:w="21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top"/>
              <w:rPr>
                <w:rFonts w:hint="default" w:ascii="宋体" w:hAnsi="宋体" w:eastAsia="宋体" w:cs="宋体"/>
                <w:color w:val="000000"/>
                <w:kern w:val="0"/>
                <w:sz w:val="24"/>
                <w:szCs w:val="24"/>
                <w:highlight w:val="none"/>
                <w:lang w:val="en-US" w:eastAsia="zh-CN" w:bidi="ar"/>
              </w:rPr>
            </w:pPr>
            <w:bookmarkStart w:id="1" w:name="_GoBack"/>
            <w:bookmarkEnd w:id="1"/>
            <w:r>
              <w:rPr>
                <w:rFonts w:hint="eastAsia" w:ascii="宋体" w:hAnsi="宋体" w:eastAsia="宋体" w:cs="宋体"/>
                <w:color w:val="000000"/>
                <w:kern w:val="0"/>
                <w:sz w:val="24"/>
                <w:szCs w:val="24"/>
                <w:highlight w:val="none"/>
                <w:lang w:val="en-US" w:eastAsia="zh-CN" w:bidi="ar"/>
              </w:rPr>
              <w:t>4334400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二、</w:t>
      </w:r>
      <w:r>
        <w:rPr>
          <w:rFonts w:hint="eastAsia" w:ascii="宋体" w:hAnsi="宋体"/>
          <w:b/>
          <w:color w:val="auto"/>
          <w:sz w:val="24"/>
          <w:highlight w:val="none"/>
        </w:rPr>
        <w:t>技术及质量要求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rPr>
      </w:pPr>
      <w:r>
        <w:rPr>
          <w:rFonts w:hint="eastAsia" w:ascii="宋体" w:hAnsi="宋体"/>
          <w:b w:val="0"/>
          <w:bCs/>
          <w:color w:val="auto"/>
          <w:sz w:val="24"/>
          <w:highlight w:val="none"/>
          <w:lang w:val="en-US" w:eastAsia="zh-CN"/>
        </w:rPr>
        <w:t>上床下桌家具技术参数</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1.床体</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1.1床体尺寸：2000mm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900mm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2170mm，尺寸±5mm。</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△1.2床柱：使用规格为厚50mm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宽103mm的菱形管，材料厚度≥1.2mm，规格可以优于此标准。采用优质冷轧钢板经特制一次成型线轧制而成，其立面为中空异形，为防止生锈，管材内外进行镀锌处理。管材大圆角设计，R角半径为5mm，保证使用安全，持握手感舒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△1.3床边：床铺长梁采用58mm△85mm△1.2mm优质冷轧钢板一次压制成型，规格可优于此标准，底部半径为20mm圆弧设计，避免磕头，钢管外侧设置增加承重强度工艺，两端采用插挂式连接结构，插挂稳固结实。</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拉杆：使用规格为厚37mm△宽83mm的菱形管，壁厚≥1.2mm，规格可优于此标准。采用左、右、后面三面拉杆，拉杆高度810mm，拉杆采用优质冷轧钢板经特制一次成型线轧制而成，其立面为中空异形八角管，为防止生锈，管材内外进行镀锌处理。管材大圆角设计，R角半径为5mm，保证使用安全，持握手感舒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床头床档：床档采用插入式三根床档结构，上面第一根采用32mm△32mm、壁厚≥1.2mm的八角管，其余两根为25mm△25mm、壁厚≥1.2mm的六角管，可优于此标准。采用优质冷轧钢板经特制一次成型线轧制而成，其立面为中空异形，为防止生锈，管材内外进行镀锌处理。管材大圆角设计，R角半径为5mm，保证使用安全，持握手感舒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护栏：护栏采用规格为25mm△25mm△1.2mm的六角管，可以优于此标准。使用优质冷轧钢板经特制一次成型线轧制而成，其立面为中空异形，为防止生锈，管材内外进行镀锌处理。管材大圆角设计，R角半径为5mm，保证使用安全，持握手感舒适。上部采用三根六角管，底部嵌冲孔透气网板，钢板厚度≥0.8mm，护栏总高350mm，护栏总长度不低于1600mm。</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1.7床板及支撑横梁：床板外框采用规格为20mm△20mm、壁厚≥1.2mm的方管，横梁采用规格为25mm△25mm、壁厚≥1.2mm的六角管6根，均匀与外框连接后和床边稳固结合，可优于此标准。网状床板可用钢网或钢管制作，要求稳固不移动，承重性能好，无异响。                                                                   </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梯：梯子支撑主体使用规格为25mm△25mm、壁厚≥1.2mm的方管制作。步梯外径550mm，踏板深度215mm。采用优质冷轧钢板经特制一次成型线轧制而成，踏板其立面为圆形。防滑脚踏板采用凸起纹理，增加摩擦系数，踏板托盘2.0mm加固钢制托盘。</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1.9床腿地脚：采用一次成型PP吹塑材质，内嵌式或外置均可，与床腿配套。 </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1.10结构连接：床体连接部份采用挂件连接，每张床可承重≥400kg 。</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△1.11卡式连接挂件：经冲床冲压成L型，设有连接卡口，成型后尺寸≥220△30△2mm，材料厚度≥2.0mm。</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1.12金属焊接要求：所有焊接部位均采用二氧化碳气体保护焊，焊接后打磨平、除刺及抛光，焊接金属表面必须除油、去锈。</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 xml:space="preserve">1.13金属喷塑要求：采用优质环保产品环氧聚脂塑粉，经纳米磷化后静电喷塑，喷塑涂层厚度70~80μm，喷塑外膜的表面光滑平整。符合GB/T3325-2017、GB18584-2001标准检测，可溶性重金属含量（镉≤3mg/kg、铬≤2mg/kg、铅≤4mg/kg、汞未检出）达标；硬度≥H，冲击强度、附着力、耐腐蚀等均符合要求。 </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1.14公寓床（环保性能）：符合GB/T35607-2017《绿色产品评价家具》检测标准，甲醛释放量≤0.02mg/m3、苯未检出、甲苯未检出、二甲苯未检出、总挥发性有机化合物(TVOC) 未检出、家具涂层可迁移元素（铅≤2mg/kg、镉≤1mg/kg、铬≤3mg/kg、汞≤0.1mg/kg、锑≤20mg/kg、钡≤3mg/kg、硒≤5mg/kg、砷≤10mg/kg）。</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1.15公寓床（综合性能）：符合QB/T2741-2013、GB18584-2001、GB/T15102-2017检测标准，主要尺寸及偏差、形状和位置公差、外观、木制件表面理化性能、金属件表面涂层理化性能(冲击强度、附着力、耐湿热、耐腐蚀均符合要求)、安装、产品部件/人造板材质理化性能、力学性能（桌类、柜类、床类、扶梯、安全拦均符合要求）。</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1.6主要部件床柱、床边、拉杆、梯子、卡式连接挂件：符合QB/T2741-2013、GB18584-2001检测标准，金属表面涂层理化性能（耐湿热、冲击强度、耐腐蚀性、漆膜附着力）、可溶性重金属（铅、汞、镉、铬）均符合要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以上检测标准相关数据以省级及以上检测部门出具的检验报告为佐证。</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2、家具柜组</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2.1整体尺寸：1930mm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600mm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1730mm</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2.2钢柜</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2.2.1尺寸：800mm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600mm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1730mm</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lang w:eastAsia="zh-CN"/>
        </w:rPr>
        <w:t>△</w:t>
      </w:r>
      <w:r>
        <w:rPr>
          <w:rFonts w:hint="eastAsia" w:ascii="宋体" w:hAnsi="宋体" w:eastAsia="宋体" w:cs="宋体"/>
          <w:color w:val="auto"/>
          <w:sz w:val="24"/>
          <w:szCs w:val="24"/>
          <w:highlight w:val="none"/>
          <w:lang w:val="en-US" w:eastAsia="zh-CN"/>
        </w:rPr>
        <w:t>2.2.2材质：采用优质不低于0.8mm冷轧钢板，经剪切，冲压，折弯，焊接，装配而成。</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2.2.3锁具及铰链：铰链符合QB/T2189-2013标准，下沉量≤1.5mm，耐久性符合4万次要求，加装挂锁扣。</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lang w:eastAsia="zh-CN"/>
        </w:rPr>
        <w:t>△</w:t>
      </w:r>
      <w:r>
        <w:rPr>
          <w:rFonts w:hint="eastAsia" w:ascii="宋体" w:hAnsi="宋体" w:eastAsia="宋体" w:cs="宋体"/>
          <w:color w:val="auto"/>
          <w:sz w:val="24"/>
          <w:szCs w:val="24"/>
          <w:highlight w:val="none"/>
          <w:lang w:val="en-US" w:eastAsia="zh-CN"/>
        </w:rPr>
        <w:t>2.2.4结构：通体双开门，设通风孔，门内设半身镜，金属挂衣杆；内设搁板一块，搁板长边三折弯处理门内结构，下有加强筋，柜门采用门筋一体制作，表面木纹转印处理。带调节脚，柜体立面5mm圆薄边外观设计，一次成型结构，稳固性能好。</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2.3钢木学习桌</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2.3.1桌面长度：1130mm，L型，宽度根据床内径设计</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2.3.2桌面材料：采用E1级25mm优质环保板材双饰面刨花板，符合GB/T15102-2017、GB18580-2017标准，甲醛释放量≤0.03mg/m3，吸水厚度膨胀率≤3%、静曲强度≥15MPa、弹性模量≥2300MPa、内结合强度≥0.4MPa、密度0.7g-0.9g/cm3、握螺钉力板面≥1200N、板边≥800N、表面胶合强度≥0.7MPa均符合要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2.3.3封边条：采用2mm厚PVC优质环保材料封边。</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2.3.4锁具：加装挂锁扣。</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lang w:eastAsia="zh-CN"/>
        </w:rPr>
        <w:t>△</w:t>
      </w:r>
      <w:r>
        <w:rPr>
          <w:rFonts w:hint="eastAsia" w:ascii="宋体" w:hAnsi="宋体" w:eastAsia="宋体" w:cs="宋体"/>
          <w:color w:val="auto"/>
          <w:sz w:val="24"/>
          <w:szCs w:val="24"/>
          <w:highlight w:val="none"/>
          <w:lang w:val="en-US" w:eastAsia="zh-CN"/>
        </w:rPr>
        <w:t>2.3.5桌上书架：采用优质不低于0.8mm冷轧钢板，经剪切，冲压，折弯，焊接，装配而成，立书架3层结构，横书架均分为2格，与桌面及柜体连接牢固，书架立面5mm圆薄边外观设计，一次成型结构，稳固性能好。</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cs="宋体"/>
          <w:color w:val="auto"/>
          <w:szCs w:val="24"/>
          <w:highlight w:val="none"/>
          <w:lang w:eastAsia="zh-CN"/>
        </w:rPr>
        <w:t>△</w:t>
      </w:r>
      <w:r>
        <w:rPr>
          <w:rFonts w:hint="eastAsia" w:ascii="宋体" w:hAnsi="宋体" w:eastAsia="宋体" w:cs="宋体"/>
          <w:color w:val="auto"/>
          <w:sz w:val="24"/>
          <w:szCs w:val="24"/>
          <w:highlight w:val="none"/>
          <w:lang w:val="en-US" w:eastAsia="zh-CN"/>
        </w:rPr>
        <w:t>2.3.6桌下柜：采用优质不低于0.8mm冷轧钢板，经剪切，冲压，折弯，焊接，装配而成，采用上部抽屉下部鞋架结构，抽屉采用三节优质静音滑轨，下部为无柜门鞋架，均分为2层，柜体立面5mm圆薄边外观设计，一次成型结构，稳固性能好。</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2.4.结构：学习桌+桌上书架+桌下柜，学习桌采用L形。</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2.5工艺：全部金属表面经磷化、除污、除油、除锈等表面处理后；折角处圆滑，焊接内外无毛刺尖角，使各部位的结构更加合理、更加人性化、坚固耐用。</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2.6金属喷塑要求：采用优质环保产品环氧聚脂塑粉，经纳米磷化后静电喷塑，喷塑涂层厚度70~80μm，喷塑外膜的表面光滑平整。符合GB/T3325-2017、GB18584-2001标准检测，可溶性重金属含量（镉≤3mg/kg、铬≤2mg/kg、铅≤4mg/kg、汞未检出）达标；硬度≥2H，冲击强度、附着力、耐腐蚀等均符合要求。</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2.7钢制柜:符合GB/T13668-2015检测标准，外观要求、其他要求、形状和位置公差、表面涂层理化性能（附着力、硬度、耐腐蚀、冲击强度）、力学性能均符合要求。</w:t>
      </w:r>
    </w:p>
    <w:p>
      <w:pPr>
        <w:keepNext w:val="0"/>
        <w:keepLines w:val="0"/>
        <w:pageBreakBefore w:val="0"/>
        <w:kinsoku/>
        <w:wordWrap/>
        <w:overflowPunct/>
        <w:topLinePunct w:val="0"/>
        <w:autoSpaceDE/>
        <w:autoSpaceDN/>
        <w:bidi w:val="0"/>
        <w:adjustRightInd/>
        <w:snapToGrid/>
        <w:spacing w:line="360" w:lineRule="auto"/>
        <w:ind w:left="0" w:firstLine="525"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val="en-US" w:eastAsia="zh-CN"/>
        </w:rPr>
        <w:t>2.8书架、钢木桌：符合GB/T3325-2017检测标准，可溶性重金属（镉未检出、铬≤2mg/kg、铅≤5mg/kg、汞未检出）；理化性能（硬度≥H、冲击强度、附着力、耐腐蚀等均符合要求）；力学性能符合要求。</w:t>
      </w:r>
    </w:p>
    <w:p>
      <w:pPr>
        <w:keepNext w:val="0"/>
        <w:keepLines w:val="0"/>
        <w:pageBreakBefore w:val="0"/>
        <w:kinsoku/>
        <w:wordWrap/>
        <w:overflowPunct/>
        <w:topLinePunct w:val="0"/>
        <w:autoSpaceDE/>
        <w:autoSpaceDN/>
        <w:bidi w:val="0"/>
        <w:adjustRightInd/>
        <w:snapToGrid/>
        <w:spacing w:line="360" w:lineRule="auto"/>
        <w:ind w:left="0"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以上检测标准相关数据以省级及以上检测部门出具的检验报告为佐证。</w:t>
      </w:r>
    </w:p>
    <w:p>
      <w:pPr>
        <w:pStyle w:val="17"/>
        <w:keepNext w:val="0"/>
        <w:keepLines w:val="0"/>
        <w:pageBreakBefore w:val="0"/>
        <w:numPr>
          <w:ilvl w:val="0"/>
          <w:numId w:val="0"/>
        </w:numPr>
        <w:kinsoku/>
        <w:wordWrap/>
        <w:overflowPunct/>
        <w:topLinePunct w:val="0"/>
        <w:autoSpaceDE/>
        <w:autoSpaceDN/>
        <w:bidi w:val="0"/>
        <w:adjustRightInd/>
        <w:snapToGrid/>
        <w:spacing w:line="360" w:lineRule="auto"/>
        <w:ind w:leftChars="-250"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供货及安装周期</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2"/>
          <w:highlight w:val="none"/>
          <w:lang w:val="en-US" w:eastAsia="zh-CN" w:bidi="ar"/>
        </w:rPr>
      </w:pPr>
      <w:r>
        <w:rPr>
          <w:rFonts w:hint="eastAsia" w:ascii="宋体" w:hAnsi="宋体" w:eastAsia="宋体" w:cs="宋体"/>
          <w:kern w:val="2"/>
          <w:sz w:val="24"/>
          <w:szCs w:val="22"/>
          <w:highlight w:val="none"/>
          <w:lang w:val="en-US" w:eastAsia="zh-CN" w:bidi="ar"/>
        </w:rPr>
        <w:t>自签定合同之日起至2021年09月02日完成供货及安装。逾期交货的，每逾期一天将处以合同总价的百分之五的罚金。超过6天，</w:t>
      </w:r>
      <w:r>
        <w:rPr>
          <w:rFonts w:hint="eastAsia" w:ascii="宋体" w:hAnsi="宋体" w:eastAsia="宋体" w:cs="宋体"/>
          <w:b w:val="0"/>
          <w:bCs/>
          <w:color w:val="auto"/>
          <w:sz w:val="24"/>
          <w:szCs w:val="24"/>
          <w:highlight w:val="none"/>
          <w:lang w:val="en-US" w:eastAsia="zh-CN"/>
        </w:rPr>
        <w:t>投标人按合同金额的30%向招标人支付违约金，并赔偿由此造成的损失费用，招标人有权解除合同并另行招标采购。</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中标人货物进场时，招标人取样委托专业机构进行检测，如不能达到招投标文件要求，将对投标人处罚合同金额30%，并索赔由此造成的损失费用，责成投标人重新提供满足招投标文件要求的货物，或解除合同，招标人另行招标采购。</w:t>
      </w:r>
    </w:p>
    <w:p>
      <w:pPr>
        <w:pStyle w:val="2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若有家具不具备安装条件需延后安装的，工期顺延，中标人应无条件配合招标人的安装工期要求，并不收取费用。</w:t>
      </w:r>
    </w:p>
    <w:p>
      <w:pPr>
        <w:pStyle w:val="17"/>
        <w:keepNext w:val="0"/>
        <w:keepLines w:val="0"/>
        <w:pageBreakBefore w:val="0"/>
        <w:numPr>
          <w:ilvl w:val="0"/>
          <w:numId w:val="0"/>
        </w:numPr>
        <w:kinsoku/>
        <w:wordWrap/>
        <w:overflowPunct/>
        <w:topLinePunct w:val="0"/>
        <w:autoSpaceDE/>
        <w:autoSpaceDN/>
        <w:bidi w:val="0"/>
        <w:adjustRightInd/>
        <w:snapToGrid/>
        <w:spacing w:line="360" w:lineRule="auto"/>
        <w:ind w:leftChars="-250"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质保要求：</w:t>
      </w:r>
    </w:p>
    <w:p>
      <w:pPr>
        <w:pStyle w:val="21"/>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保修范围：在正常使用条件下，造成的产品质量问题，均属乙方保修范围。</w:t>
      </w:r>
    </w:p>
    <w:p>
      <w:pPr>
        <w:pStyle w:val="21"/>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保修期限：自产品到货、招标人组织安装完毕、验收合格之日起五年质保期。</w:t>
      </w:r>
    </w:p>
    <w:p>
      <w:pPr>
        <w:adjustRightInd w:val="0"/>
        <w:snapToGrid w:val="0"/>
        <w:spacing w:line="360" w:lineRule="auto"/>
        <w:ind w:firstLine="542" w:firstLineChars="225"/>
        <w:rPr>
          <w:rFonts w:ascii="宋体" w:hAnsi="宋体"/>
          <w:b/>
          <w:color w:val="auto"/>
          <w:sz w:val="24"/>
          <w:highlight w:val="none"/>
        </w:rPr>
      </w:pPr>
      <w:r>
        <w:rPr>
          <w:rFonts w:hint="eastAsia" w:ascii="宋体" w:hAnsi="宋体"/>
          <w:b/>
          <w:color w:val="auto"/>
          <w:sz w:val="24"/>
          <w:highlight w:val="none"/>
        </w:rPr>
        <w:t>提醒注意：</w:t>
      </w:r>
    </w:p>
    <w:p>
      <w:pPr>
        <w:adjustRightInd w:val="0"/>
        <w:snapToGrid w:val="0"/>
        <w:spacing w:line="360" w:lineRule="auto"/>
        <w:ind w:left="478" w:leftChars="56" w:hanging="360" w:hangingChars="150"/>
        <w:rPr>
          <w:rFonts w:hint="eastAsia" w:ascii="宋体" w:hAnsi="宋体" w:eastAsia="宋体" w:cs="宋体"/>
          <w:b/>
          <w:color w:val="auto"/>
          <w:kern w:val="0"/>
          <w:sz w:val="24"/>
          <w:highlight w:val="none"/>
          <w:lang w:eastAsia="zh-CN"/>
        </w:rPr>
      </w:pPr>
      <w:r>
        <w:rPr>
          <w:rFonts w:hint="eastAsia" w:ascii="宋体" w:hAnsi="宋体"/>
          <w:color w:val="auto"/>
          <w:sz w:val="24"/>
          <w:highlight w:val="none"/>
        </w:rPr>
        <w:t>★</w:t>
      </w:r>
      <w:r>
        <w:rPr>
          <w:rFonts w:hint="eastAsia" w:ascii="宋体" w:hAnsi="宋体"/>
          <w:b/>
          <w:color w:val="auto"/>
          <w:sz w:val="24"/>
          <w:highlight w:val="none"/>
        </w:rPr>
        <w:t>1、</w:t>
      </w:r>
      <w:r>
        <w:rPr>
          <w:rFonts w:hint="eastAsia" w:ascii="宋体" w:hAnsi="宋体"/>
          <w:b/>
          <w:bCs/>
          <w:color w:val="auto"/>
          <w:sz w:val="24"/>
          <w:highlight w:val="none"/>
        </w:rPr>
        <w:t>以上采购需求不指向任何一种品牌或供应商</w:t>
      </w:r>
      <w:r>
        <w:rPr>
          <w:rFonts w:hint="eastAsia" w:ascii="宋体" w:hAnsi="宋体"/>
          <w:b/>
          <w:bCs/>
          <w:color w:val="auto"/>
          <w:sz w:val="24"/>
          <w:highlight w:val="none"/>
          <w:lang w:eastAsia="zh-CN"/>
        </w:rPr>
        <w:t>。</w:t>
      </w:r>
    </w:p>
    <w:p>
      <w:pPr>
        <w:spacing w:line="360" w:lineRule="auto"/>
        <w:ind w:left="480" w:leftChars="57" w:hanging="360" w:hangingChars="150"/>
        <w:rPr>
          <w:rFonts w:ascii="宋体" w:hAnsi="宋体" w:cs="宋体"/>
          <w:color w:val="auto"/>
          <w:kern w:val="0"/>
          <w:sz w:val="24"/>
          <w:highlight w:val="none"/>
        </w:rPr>
      </w:pPr>
      <w:r>
        <w:rPr>
          <w:rFonts w:hint="eastAsia" w:ascii="宋体" w:hAnsi="宋体"/>
          <w:color w:val="auto"/>
          <w:sz w:val="24"/>
          <w:highlight w:val="none"/>
        </w:rPr>
        <w:t>2、供应商应按己方所投标货物的实际技术参数填写，如经评标委员会发现未</w:t>
      </w:r>
      <w:r>
        <w:rPr>
          <w:rFonts w:hint="eastAsia" w:ascii="宋体" w:hAnsi="宋体"/>
          <w:bCs/>
          <w:color w:val="auto"/>
          <w:sz w:val="24"/>
          <w:highlight w:val="none"/>
        </w:rPr>
        <w:t>按所投产品品牌的实际技术参数进行应答，而是完全复制招标文件的技术参数，与所投品牌的实际技术参数不符的，</w:t>
      </w:r>
      <w:r>
        <w:rPr>
          <w:rFonts w:hint="eastAsia" w:ascii="宋体" w:hAnsi="宋体"/>
          <w:b/>
          <w:color w:val="auto"/>
          <w:sz w:val="24"/>
          <w:highlight w:val="none"/>
        </w:rPr>
        <w:t>按投标无效处理</w:t>
      </w:r>
      <w:r>
        <w:rPr>
          <w:rFonts w:hint="eastAsia" w:ascii="宋体" w:hAnsi="宋体"/>
          <w:bCs/>
          <w:color w:val="auto"/>
          <w:sz w:val="24"/>
          <w:highlight w:val="none"/>
        </w:rPr>
        <w:t>。</w:t>
      </w:r>
      <w:r>
        <w:rPr>
          <w:rFonts w:hint="eastAsia" w:ascii="宋体" w:hAnsi="宋体"/>
          <w:color w:val="auto"/>
          <w:sz w:val="24"/>
          <w:highlight w:val="none"/>
        </w:rPr>
        <w:t>技术偏离表中</w:t>
      </w:r>
      <w:r>
        <w:rPr>
          <w:rFonts w:hint="eastAsia" w:ascii="宋体" w:hAnsi="宋体" w:cs="宋体"/>
          <w:color w:val="auto"/>
          <w:kern w:val="0"/>
          <w:sz w:val="24"/>
          <w:highlight w:val="none"/>
        </w:rPr>
        <w:t>“投标文件响应情况”应如实填写，并与“招标文件技术要求”一一对应，如响应技术条款优于招标文件要求，填写“正偏离”，如简单填写“响应”或“完全响应”投标无效。</w:t>
      </w:r>
    </w:p>
    <w:p>
      <w:pPr>
        <w:spacing w:line="360" w:lineRule="auto"/>
        <w:ind w:left="480" w:leftChars="57" w:hanging="360" w:hangingChars="150"/>
        <w:rPr>
          <w:rFonts w:ascii="宋体" w:hAnsi="宋体"/>
          <w:color w:val="auto"/>
          <w:sz w:val="24"/>
          <w:highlight w:val="none"/>
        </w:rPr>
      </w:pPr>
      <w:r>
        <w:rPr>
          <w:rFonts w:hint="eastAsia" w:ascii="宋体" w:hAnsi="宋体"/>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left="480" w:leftChars="57" w:hanging="360" w:hangingChars="15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根据</w:t>
      </w:r>
      <w:r>
        <w:rPr>
          <w:rFonts w:hint="eastAsia" w:ascii="宋体" w:hAnsi="宋体"/>
          <w:color w:val="auto"/>
          <w:sz w:val="24"/>
          <w:highlight w:val="none"/>
        </w:rPr>
        <w:t>《</w:t>
      </w:r>
      <w:r>
        <w:rPr>
          <w:rFonts w:hint="eastAsia" w:ascii="宋体" w:hAnsi="宋体"/>
          <w:bCs/>
          <w:color w:val="auto"/>
          <w:sz w:val="24"/>
          <w:highlight w:val="none"/>
        </w:rPr>
        <w:t>财政部 发展改革委 生态环境部 市场监管总局 关于调整优化节能产品、环境标志产品政府采购执行机制的通知</w:t>
      </w:r>
      <w:r>
        <w:rPr>
          <w:rFonts w:hint="eastAsia" w:ascii="宋体" w:hAnsi="宋体"/>
          <w:color w:val="auto"/>
          <w:sz w:val="24"/>
          <w:highlight w:val="none"/>
        </w:rPr>
        <w:t>》（财库〔2019〕9号）、《市场监管总局关于发布参与实施政府采购节能产品、环境标志产品认证机构名录的公告》（2019年第16号）等</w:t>
      </w:r>
      <w:r>
        <w:rPr>
          <w:rFonts w:ascii="宋体" w:hAnsi="宋体"/>
          <w:color w:val="auto"/>
          <w:sz w:val="24"/>
          <w:highlight w:val="none"/>
        </w:rPr>
        <w:t>文件</w:t>
      </w:r>
      <w:r>
        <w:rPr>
          <w:rFonts w:hint="eastAsia" w:ascii="宋体" w:hAnsi="宋体"/>
          <w:color w:val="auto"/>
          <w:sz w:val="24"/>
          <w:highlight w:val="none"/>
        </w:rPr>
        <w:t>的相关</w:t>
      </w:r>
      <w:r>
        <w:rPr>
          <w:rFonts w:ascii="宋体" w:hAnsi="宋体"/>
          <w:color w:val="auto"/>
          <w:sz w:val="24"/>
          <w:highlight w:val="none"/>
        </w:rPr>
        <w:t>规定</w:t>
      </w:r>
      <w:r>
        <w:rPr>
          <w:rFonts w:hint="eastAsia" w:ascii="宋体" w:hAnsi="宋体"/>
          <w:color w:val="auto"/>
          <w:sz w:val="24"/>
          <w:highlight w:val="none"/>
        </w:rPr>
        <w:t>，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left="480" w:leftChars="57" w:hanging="360" w:hangingChars="150"/>
        <w:rPr>
          <w:rFonts w:ascii="宋体" w:hAnsi="宋体"/>
          <w:color w:val="auto"/>
          <w:sz w:val="24"/>
          <w:highlight w:val="none"/>
        </w:rPr>
      </w:pPr>
      <w:r>
        <w:rPr>
          <w:rFonts w:hint="eastAsia" w:ascii="宋体" w:hAnsi="宋体"/>
          <w:color w:val="auto"/>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left="480" w:leftChars="57" w:hanging="360" w:hangingChars="150"/>
        <w:rPr>
          <w:rFonts w:ascii="宋体" w:hAnsi="宋体"/>
          <w:color w:val="auto"/>
          <w:sz w:val="24"/>
          <w:highlight w:val="none"/>
        </w:rPr>
      </w:pPr>
      <w:r>
        <w:rPr>
          <w:rFonts w:hint="eastAsia" w:ascii="宋体" w:hAnsi="宋体"/>
          <w:color w:val="auto"/>
          <w:sz w:val="24"/>
          <w:highlight w:val="none"/>
        </w:rPr>
        <w:t>★6、信息安全产品，需提供由中国信息安全认证中心按国家标准认证颁发的有效认证证书，应符合《关于信息安全产品实施政府采购的通知》（财库【2010】48号）要求。</w:t>
      </w:r>
    </w:p>
    <w:p>
      <w:pPr>
        <w:bidi w:val="0"/>
        <w:jc w:val="left"/>
        <w:rPr>
          <w:rFonts w:hint="eastAsia"/>
          <w:lang w:val="en-US" w:eastAsia="zh-CN"/>
        </w:rPr>
      </w:pPr>
      <w:r>
        <w:rPr>
          <w:rFonts w:hint="eastAsia" w:ascii="宋体" w:hAnsi="宋体"/>
          <w:color w:val="auto"/>
          <w:sz w:val="24"/>
          <w:highlight w:val="none"/>
        </w:rPr>
        <w:t>7、报价产品的各项技术指标不能低于国家强制性标准，否则</w:t>
      </w:r>
      <w:r>
        <w:rPr>
          <w:rFonts w:hint="eastAsia" w:ascii="宋体" w:hAnsi="宋体" w:cs="宋体"/>
          <w:color w:val="auto"/>
          <w:kern w:val="0"/>
          <w:sz w:val="24"/>
          <w:highlight w:val="none"/>
        </w:rPr>
        <w:t>投标无效</w:t>
      </w:r>
      <w:r>
        <w:rPr>
          <w:rFonts w:hint="eastAsia" w:ascii="宋体" w:hAnsi="宋体"/>
          <w:color w:val="auto"/>
          <w:sz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C16BF"/>
    <w:multiLevelType w:val="multilevel"/>
    <w:tmpl w:val="D12C16BF"/>
    <w:lvl w:ilvl="0" w:tentative="0">
      <w:start w:val="1"/>
      <w:numFmt w:val="japaneseCounting"/>
      <w:lvlText w:val="（%1）"/>
      <w:lvlJc w:val="left"/>
      <w:pPr>
        <w:ind w:left="774" w:hanging="77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8"/>
      <w:suff w:val="nothing"/>
      <w:lvlText w:val="%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1DAAD0D"/>
    <w:multiLevelType w:val="multilevel"/>
    <w:tmpl w:val="31DAAD0D"/>
    <w:lvl w:ilvl="0" w:tentative="0">
      <w:start w:val="1"/>
      <w:numFmt w:val="japaneseCounting"/>
      <w:lvlText w:val="（%1）"/>
      <w:lvlJc w:val="left"/>
      <w:pPr>
        <w:ind w:left="774" w:hanging="77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74468B"/>
    <w:multiLevelType w:val="singleLevel"/>
    <w:tmpl w:val="7074468B"/>
    <w:lvl w:ilvl="0" w:tentative="0">
      <w:start w:val="3"/>
      <w:numFmt w:val="chineseCounting"/>
      <w:suff w:val="space"/>
      <w:lvlText w:val="第%1章"/>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C6F50"/>
    <w:rsid w:val="58EA35D3"/>
    <w:rsid w:val="5D4F6666"/>
    <w:rsid w:val="6719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5">
    <w:name w:val="heading 2"/>
    <w:basedOn w:val="1"/>
    <w:next w:val="1"/>
    <w:qFormat/>
    <w:uiPriority w:val="9"/>
    <w:pPr>
      <w:keepNext/>
      <w:keepLines/>
      <w:outlineLvl w:val="1"/>
    </w:pPr>
    <w:rPr>
      <w:rFonts w:ascii="Arial" w:hAnsi="Arial" w:eastAsia="黑体"/>
      <w:bCs/>
      <w:sz w:val="28"/>
      <w:szCs w:val="32"/>
    </w:rPr>
  </w:style>
  <w:style w:type="paragraph" w:styleId="6">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7">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8">
    <w:name w:val="heading 5"/>
    <w:basedOn w:val="9"/>
    <w:next w:val="10"/>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djustRightInd w:val="0"/>
      <w:spacing w:line="360" w:lineRule="atLeast"/>
      <w:jc w:val="center"/>
      <w:textAlignment w:val="baseline"/>
    </w:pPr>
    <w:rPr>
      <w:kern w:val="0"/>
      <w:sz w:val="24"/>
      <w:szCs w:val="20"/>
    </w:rPr>
  </w:style>
  <w:style w:type="paragraph" w:customStyle="1" w:styleId="9">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styleId="10">
    <w:name w:val="Normal Indent"/>
    <w:basedOn w:val="1"/>
    <w:qFormat/>
    <w:uiPriority w:val="0"/>
    <w:pPr>
      <w:ind w:firstLine="420" w:firstLineChars="2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page number"/>
    <w:basedOn w:val="15"/>
    <w:qFormat/>
    <w:uiPriority w:val="0"/>
  </w:style>
  <w:style w:type="paragraph" w:customStyle="1" w:styleId="17">
    <w:name w:val="列出段落1"/>
    <w:qFormat/>
    <w:uiPriority w:val="0"/>
    <w:pPr>
      <w:ind w:firstLine="420" w:firstLineChars="200"/>
      <w:jc w:val="center"/>
    </w:pPr>
    <w:rPr>
      <w:rFonts w:ascii="Calibri" w:hAnsi="Calibri" w:eastAsia="宋体" w:cs="Times New Roman"/>
      <w:szCs w:val="22"/>
      <w:lang w:val="en-US" w:eastAsia="zh-CN" w:bidi="ar-SA"/>
    </w:rPr>
  </w:style>
  <w:style w:type="paragraph" w:customStyle="1" w:styleId="18">
    <w:name w:val="_Style 1"/>
    <w:basedOn w:val="1"/>
    <w:qFormat/>
    <w:uiPriority w:val="1"/>
    <w:pPr>
      <w:ind w:firstLine="420" w:firstLineChars="200"/>
    </w:pPr>
  </w:style>
  <w:style w:type="paragraph" w:customStyle="1" w:styleId="1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标准文本"/>
    <w:basedOn w:val="1"/>
    <w:qFormat/>
    <w:uiPriority w:val="0"/>
    <w:pPr>
      <w:spacing w:line="360" w:lineRule="auto"/>
      <w:ind w:firstLine="480" w:firstLineChars="200"/>
    </w:pPr>
    <w:rPr>
      <w:kern w:val="0"/>
      <w:sz w:val="24"/>
      <w:szCs w:val="20"/>
    </w:rPr>
  </w:style>
  <w:style w:type="paragraph" w:customStyle="1" w:styleId="21">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2021-01-05T05:50:00Z</dcterms:created>
  <dc:creator>Administrator.PC-20151222GRIG</dc:creator>
  <cp:lastModifiedBy>邱实</cp:lastModifiedBy>
  <dcterms:modified xsi:type="dcterms:W3CDTF">2021-07-23T08:18:28Z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96C52BE531E747E8A21D545A379F7099</vt:lpwstr>
  </property>
</Properties>
</file>