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before="0" w:after="0"/>
        <w:ind w:right="210" w:rightChars="100"/>
        <w:jc w:val="center"/>
        <w:rPr>
          <w:color w:val="auto"/>
        </w:rPr>
      </w:pPr>
      <w:bookmarkStart w:id="0" w:name="_Toc20473792"/>
      <w:bookmarkStart w:id="42" w:name="_GoBack"/>
      <w:r>
        <w:rPr>
          <w:rFonts w:hint="eastAsia"/>
          <w:color w:val="auto"/>
        </w:rPr>
        <w:t>采购人需求</w:t>
      </w:r>
      <w:bookmarkEnd w:id="0"/>
    </w:p>
    <w:bookmarkEnd w:id="42"/>
    <w:p>
      <w:pPr>
        <w:adjustRightInd w:val="0"/>
        <w:snapToGrid w:val="0"/>
        <w:spacing w:line="360" w:lineRule="auto"/>
        <w:rPr>
          <w:rFonts w:ascii="宋体" w:hAnsi="宋体" w:cs="宋体"/>
          <w:b/>
          <w:color w:val="auto"/>
          <w:sz w:val="24"/>
        </w:rPr>
      </w:pPr>
      <w:r>
        <w:rPr>
          <w:rFonts w:hint="eastAsia" w:ascii="宋体" w:hAnsi="宋体" w:cs="宋体"/>
          <w:b/>
          <w:color w:val="auto"/>
          <w:sz w:val="24"/>
        </w:rPr>
        <w:t>第一包：</w:t>
      </w:r>
    </w:p>
    <w:p>
      <w:pPr>
        <w:pStyle w:val="5"/>
        <w:spacing w:line="360" w:lineRule="auto"/>
        <w:rPr>
          <w:color w:val="auto"/>
          <w:sz w:val="24"/>
          <w:szCs w:val="24"/>
        </w:rPr>
      </w:pPr>
      <w:bookmarkStart w:id="1" w:name="_Toc279072497"/>
      <w:bookmarkStart w:id="2" w:name="_Toc5058"/>
      <w:r>
        <w:rPr>
          <w:rFonts w:hint="eastAsia"/>
          <w:color w:val="auto"/>
          <w:sz w:val="24"/>
          <w:szCs w:val="24"/>
        </w:rPr>
        <w:t>一、</w:t>
      </w:r>
      <w:bookmarkEnd w:id="1"/>
      <w:bookmarkStart w:id="3" w:name="_Toc279732273"/>
      <w:bookmarkStart w:id="4" w:name="_Toc279072498"/>
      <w:r>
        <w:rPr>
          <w:rFonts w:hint="eastAsia"/>
          <w:color w:val="auto"/>
          <w:sz w:val="24"/>
          <w:szCs w:val="24"/>
        </w:rPr>
        <w:t>项目概况</w:t>
      </w:r>
      <w:bookmarkEnd w:id="2"/>
      <w:bookmarkEnd w:id="3"/>
      <w:bookmarkEnd w:id="4"/>
    </w:p>
    <w:p>
      <w:pPr>
        <w:pStyle w:val="6"/>
        <w:rPr>
          <w:color w:val="auto"/>
          <w:sz w:val="24"/>
          <w:szCs w:val="24"/>
          <w:lang w:val="sq-AL"/>
        </w:rPr>
      </w:pPr>
      <w:bookmarkStart w:id="5" w:name="_Toc20777"/>
      <w:r>
        <w:rPr>
          <w:rFonts w:hint="eastAsia"/>
          <w:color w:val="auto"/>
          <w:sz w:val="24"/>
          <w:szCs w:val="24"/>
        </w:rPr>
        <w:t>1</w:t>
      </w:r>
      <w:r>
        <w:rPr>
          <w:rFonts w:hint="eastAsia"/>
          <w:color w:val="auto"/>
          <w:sz w:val="24"/>
          <w:szCs w:val="24"/>
          <w:lang w:val="sq-AL"/>
        </w:rPr>
        <w:t>、建设目标</w:t>
      </w:r>
      <w:bookmarkEnd w:id="5"/>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通</w:t>
      </w:r>
      <w:r>
        <w:rPr>
          <w:rFonts w:hint="eastAsia" w:ascii="宋体" w:hAnsi="宋体"/>
          <w:color w:val="auto"/>
          <w:sz w:val="24"/>
          <w:lang w:val="zh-CN"/>
        </w:rPr>
        <w:t>过</w:t>
      </w:r>
      <w:r>
        <w:rPr>
          <w:rFonts w:hint="eastAsia" w:ascii="宋体" w:hAnsi="宋体"/>
          <w:color w:val="auto"/>
          <w:sz w:val="24"/>
        </w:rPr>
        <w:t>使用</w:t>
      </w:r>
      <w:r>
        <w:rPr>
          <w:rFonts w:hint="eastAsia" w:ascii="宋体" w:hAnsi="宋体"/>
          <w:color w:val="auto"/>
          <w:sz w:val="24"/>
          <w:lang w:val="zh-CN"/>
        </w:rPr>
        <w:t>数据仓库、</w:t>
      </w:r>
      <w:r>
        <w:rPr>
          <w:rFonts w:hint="eastAsia" w:ascii="宋体" w:hAnsi="宋体"/>
          <w:color w:val="auto"/>
          <w:sz w:val="24"/>
        </w:rPr>
        <w:t>业务建模</w:t>
      </w:r>
      <w:r>
        <w:rPr>
          <w:rFonts w:hint="eastAsia" w:ascii="宋体" w:hAnsi="宋体"/>
          <w:color w:val="auto"/>
          <w:sz w:val="24"/>
          <w:lang w:val="zh-CN"/>
        </w:rPr>
        <w:t>、数据挖掘、</w:t>
      </w:r>
      <w:r>
        <w:rPr>
          <w:rFonts w:hint="eastAsia" w:ascii="宋体" w:hAnsi="宋体"/>
          <w:color w:val="auto"/>
          <w:sz w:val="24"/>
        </w:rPr>
        <w:t>计算</w:t>
      </w:r>
      <w:r>
        <w:rPr>
          <w:rFonts w:hint="eastAsia" w:ascii="宋体" w:hAnsi="宋体"/>
          <w:color w:val="auto"/>
          <w:sz w:val="24"/>
          <w:lang w:val="zh-CN"/>
        </w:rPr>
        <w:t>等技术</w:t>
      </w:r>
      <w:r>
        <w:rPr>
          <w:rFonts w:hint="eastAsia" w:ascii="宋体" w:hAnsi="宋体"/>
          <w:color w:val="auto"/>
          <w:sz w:val="24"/>
        </w:rPr>
        <w:t>的基础上，建设我校大数据服务平台，</w:t>
      </w:r>
      <w:r>
        <w:rPr>
          <w:rFonts w:hint="eastAsia" w:ascii="宋体" w:hAnsi="宋体"/>
          <w:color w:val="auto"/>
          <w:sz w:val="24"/>
          <w:lang w:val="zh-CN"/>
        </w:rPr>
        <w:t>依据大数据基础和业务需求实现</w:t>
      </w:r>
      <w:r>
        <w:rPr>
          <w:rFonts w:hint="eastAsia" w:ascii="宋体" w:hAnsi="宋体"/>
          <w:color w:val="auto"/>
          <w:sz w:val="24"/>
        </w:rPr>
        <w:t>学情分析决策</w:t>
      </w:r>
      <w:r>
        <w:rPr>
          <w:rFonts w:hint="eastAsia" w:ascii="宋体" w:hAnsi="宋体"/>
          <w:color w:val="auto"/>
          <w:sz w:val="24"/>
          <w:lang w:val="zh-CN"/>
        </w:rPr>
        <w:t>、</w:t>
      </w:r>
      <w:r>
        <w:rPr>
          <w:rFonts w:hint="eastAsia" w:ascii="宋体" w:hAnsi="宋体"/>
          <w:color w:val="auto"/>
          <w:sz w:val="24"/>
        </w:rPr>
        <w:t>人资分析决策、校情</w:t>
      </w:r>
      <w:r>
        <w:rPr>
          <w:rFonts w:hint="eastAsia" w:ascii="宋体" w:hAnsi="宋体"/>
          <w:color w:val="auto"/>
          <w:sz w:val="24"/>
          <w:lang w:val="zh-CN"/>
        </w:rPr>
        <w:t>综合分析</w:t>
      </w:r>
      <w:r>
        <w:rPr>
          <w:rFonts w:hint="eastAsia" w:ascii="宋体" w:hAnsi="宋体"/>
          <w:color w:val="auto"/>
          <w:sz w:val="24"/>
        </w:rPr>
        <w:t>决策</w:t>
      </w:r>
      <w:r>
        <w:rPr>
          <w:rFonts w:hint="eastAsia" w:ascii="宋体" w:hAnsi="宋体"/>
          <w:color w:val="auto"/>
          <w:sz w:val="24"/>
          <w:lang w:val="zh-CN"/>
        </w:rPr>
        <w:t>，并依据专业模型为决策者提供规范科学的决策预判。</w:t>
      </w:r>
      <w:r>
        <w:rPr>
          <w:rFonts w:hint="eastAsia" w:ascii="宋体" w:hAnsi="宋体"/>
          <w:color w:val="auto"/>
          <w:sz w:val="24"/>
        </w:rPr>
        <w:t>具体建设目标如下:</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（1）通过深入调研，梳理学校各业务部门的核心业务，整理出能反映学校整体运行状态的核心指标体系库。</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建设统一的大数据可视化平台，接入学校已有的海量数据，运用大数据技术进行分布式存储和融合计算，构建算法模型。打通上下数据链路，实现复杂指标的在线构建与管理。最后把计算的指标结果通过大数据可视化分析系统进行展示，从而把学校所有的信息变成可视化的资产，使传统的校园进行数字孪生化。</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基于大数据可视化平台构建包含学情、人资、校情决策分析的领导驾驶舱，把核心指标分类组合，形象化、直观化、具体化的展现给校领导。把原来传统的汇报内容直接用可视化的方式展现出来，提高决策的实时性和准确性，真正做到了然于心，谋定而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（4）通过对指标的构建，反向推动底层数据到上层展现的通道打通，实现底层数据实时产生，上层指标动态变化。</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（5）通过对指标的梳理、数据的采集、计算加工、展示等过程，反向校验数据质量，提升学校信息标准治理的进程，为智慧校园建设夯实地基。为数据驱动学校业务变革提供技术赋能。</w:t>
      </w:r>
    </w:p>
    <w:p>
      <w:pPr>
        <w:pStyle w:val="6"/>
        <w:rPr>
          <w:color w:val="auto"/>
          <w:sz w:val="24"/>
          <w:szCs w:val="24"/>
          <w:lang w:val="sq-AL"/>
        </w:rPr>
      </w:pPr>
      <w:bookmarkStart w:id="6" w:name="_Toc23215"/>
      <w:bookmarkStart w:id="7" w:name="_Toc279732274"/>
      <w:bookmarkStart w:id="8" w:name="_Toc279072499"/>
      <w:r>
        <w:rPr>
          <w:rFonts w:hint="eastAsia"/>
          <w:color w:val="auto"/>
          <w:sz w:val="24"/>
          <w:szCs w:val="24"/>
        </w:rPr>
        <w:t>2</w:t>
      </w:r>
      <w:r>
        <w:rPr>
          <w:rFonts w:hint="eastAsia"/>
          <w:color w:val="auto"/>
          <w:sz w:val="24"/>
          <w:szCs w:val="24"/>
          <w:lang w:val="sq-AL"/>
        </w:rPr>
        <w:t>、预期的建设效果</w:t>
      </w:r>
      <w:bookmarkEnd w:id="6"/>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通过本项目的建设，预期的建设效果如下：</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（1）搭建一套基于大数据、分布式、搜索引擎技术的大数据可视化平台，使学校具备对海量数据存储、检索、指标构建、业务建模、可视化分析的能力。</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（2）作为知识型成果，输出能反映学校整体运行状态的核心指标体系库。</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 xml:space="preserve">（3）基于大数据可视化平台构建领导驾驶舱应用，把各类核心指标分类组合，形象化、直观化、具体化的展现给校领导，支撑领导科学决策。 </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（4）领导驾驶舱构建的过程中会涉及到指标的设计、数据的整理、指标的加工等工作，而这些工作会反向校验数据中心的数据质量，推动学校数据治理体系的发展。</w:t>
      </w:r>
    </w:p>
    <w:p>
      <w:pPr>
        <w:pStyle w:val="5"/>
        <w:spacing w:line="360" w:lineRule="auto"/>
        <w:rPr>
          <w:color w:val="auto"/>
          <w:sz w:val="24"/>
          <w:szCs w:val="24"/>
        </w:rPr>
      </w:pPr>
      <w:bookmarkStart w:id="9" w:name="_Toc20827"/>
      <w:r>
        <w:rPr>
          <w:rFonts w:hint="eastAsia"/>
          <w:color w:val="auto"/>
          <w:sz w:val="24"/>
          <w:szCs w:val="24"/>
        </w:rPr>
        <w:t>二、项目需求描述</w:t>
      </w:r>
      <w:bookmarkEnd w:id="9"/>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本项目大数据服务平台建设内容主要由两个部分组成</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（1）大数据可视化平台</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（2）智慧校园领导驾驶舱应用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在完成搭建大数据可视化平台的基础上，基于平台强大的数据分析能力、灵活的组件扩展能力、丰富的数据处理手段结合我校数据共享中心，构建我校智慧校园数据领导驾驶舱，帮助学校领导挖掘海量数据中的蛛丝马迹，发挥数据支撑决策的应有价值，推动</w:t>
      </w:r>
      <w:r>
        <w:rPr>
          <w:rFonts w:ascii="宋体" w:hAnsi="宋体"/>
          <w:color w:val="auto"/>
          <w:sz w:val="24"/>
        </w:rPr>
        <w:t>实现基于数据驱动</w:t>
      </w:r>
      <w:r>
        <w:rPr>
          <w:rFonts w:hint="eastAsia" w:ascii="宋体" w:hAnsi="宋体"/>
          <w:color w:val="auto"/>
          <w:sz w:val="24"/>
        </w:rPr>
        <w:t>下</w:t>
      </w:r>
      <w:r>
        <w:rPr>
          <w:rFonts w:ascii="宋体" w:hAnsi="宋体"/>
          <w:color w:val="auto"/>
          <w:sz w:val="24"/>
        </w:rPr>
        <w:t>的智慧校园</w:t>
      </w:r>
      <w:r>
        <w:rPr>
          <w:rFonts w:hint="eastAsia" w:ascii="宋体" w:hAnsi="宋体"/>
          <w:color w:val="auto"/>
          <w:sz w:val="24"/>
        </w:rPr>
        <w:t>建设，具体功能要求如下：</w:t>
      </w:r>
    </w:p>
    <w:p>
      <w:pPr>
        <w:spacing w:line="360" w:lineRule="auto"/>
        <w:rPr>
          <w:rFonts w:ascii="黑体" w:hAnsi="黑体" w:eastAsia="黑体" w:cs="黑体"/>
          <w:color w:val="auto"/>
          <w:sz w:val="24"/>
        </w:rPr>
      </w:pPr>
      <w:bookmarkStart w:id="10" w:name="_Toc27213"/>
      <w:r>
        <w:rPr>
          <w:rFonts w:hint="eastAsia" w:ascii="黑体" w:hAnsi="黑体" w:eastAsia="黑体" w:cs="黑体"/>
          <w:color w:val="auto"/>
          <w:sz w:val="24"/>
        </w:rPr>
        <w:t>1、大数据可视化平台</w:t>
      </w:r>
      <w:bookmarkEnd w:id="10"/>
    </w:p>
    <w:p>
      <w:pPr>
        <w:spacing w:line="360" w:lineRule="auto"/>
        <w:ind w:firstLine="480" w:firstLineChars="200"/>
        <w:rPr>
          <w:rFonts w:ascii="宋体" w:hAnsi="宋体"/>
          <w:color w:val="auto"/>
          <w:sz w:val="24"/>
        </w:rPr>
      </w:pPr>
      <w:r>
        <w:rPr>
          <w:rFonts w:hint="eastAsia" w:ascii="宋体" w:hAnsi="宋体"/>
          <w:color w:val="auto"/>
          <w:sz w:val="24"/>
        </w:rPr>
        <w:t>做为构建领导驾驶舱的核心底座平台，大数据可视化平台需由大数据准备与智能检索系统、数据可视化分析系统、可视化资产管理系统及移动端套件四</w:t>
      </w:r>
      <w:r>
        <w:rPr>
          <w:rFonts w:ascii="宋体" w:hAnsi="宋体"/>
          <w:color w:val="auto"/>
          <w:sz w:val="24"/>
        </w:rPr>
        <w:t>部分</w:t>
      </w:r>
      <w:r>
        <w:rPr>
          <w:rFonts w:hint="eastAsia" w:ascii="宋体" w:hAnsi="宋体"/>
          <w:color w:val="auto"/>
          <w:sz w:val="24"/>
        </w:rPr>
        <w:t>系统功能组成， 提供与学校数据中台对接能力、指标构建能力、以及图表构建能力。</w:t>
      </w:r>
    </w:p>
    <w:p>
      <w:pPr>
        <w:spacing w:line="360" w:lineRule="auto"/>
        <w:rPr>
          <w:rFonts w:ascii="黑体" w:hAnsi="黑体" w:eastAsia="黑体" w:cs="黑体"/>
          <w:color w:val="auto"/>
          <w:sz w:val="24"/>
        </w:rPr>
      </w:pPr>
      <w:r>
        <w:rPr>
          <w:rFonts w:hint="eastAsia" w:ascii="黑体" w:hAnsi="黑体" w:eastAsia="黑体" w:cs="黑体"/>
          <w:color w:val="auto"/>
          <w:sz w:val="24"/>
        </w:rPr>
        <w:t>1.1 数据准备与智能化检索系统</w:t>
      </w:r>
    </w:p>
    <w:p>
      <w:pPr>
        <w:spacing w:line="360" w:lineRule="auto"/>
        <w:rPr>
          <w:rFonts w:ascii="黑体" w:hAnsi="黑体" w:eastAsia="黑体" w:cs="黑体"/>
          <w:color w:val="auto"/>
          <w:sz w:val="24"/>
        </w:rPr>
      </w:pPr>
      <w:r>
        <w:rPr>
          <w:rFonts w:hint="eastAsia" w:ascii="黑体" w:hAnsi="黑体" w:eastAsia="黑体" w:cs="黑体"/>
          <w:color w:val="auto"/>
          <w:sz w:val="24"/>
        </w:rPr>
        <w:t>（1）数据源接入功能</w:t>
      </w:r>
    </w:p>
    <w:p>
      <w:pPr>
        <w:widowControl/>
        <w:spacing w:line="360" w:lineRule="auto"/>
        <w:ind w:firstLine="480" w:firstLineChars="200"/>
        <w:rPr>
          <w:rFonts w:ascii="宋体" w:hAnsi="宋体"/>
          <w:color w:val="auto"/>
          <w:sz w:val="24"/>
        </w:rPr>
      </w:pPr>
      <w:r>
        <w:rPr>
          <w:rFonts w:hint="eastAsia" w:ascii="宋体" w:hAnsi="宋体"/>
          <w:color w:val="auto"/>
          <w:sz w:val="24"/>
        </w:rPr>
        <w:t>1）数据接入需采用成熟的集成中间件技术，采用B/S架构，以Web的方式提供统一的可视化的采集工具，能图形化的设计和定义抽取、转换、加载流程，并保证数据采集交换的稳定性和安全性；</w:t>
      </w:r>
    </w:p>
    <w:p>
      <w:pPr>
        <w:spacing w:line="360" w:lineRule="auto"/>
        <w:ind w:firstLine="480" w:firstLineChars="200"/>
        <w:rPr>
          <w:rFonts w:ascii="宋体" w:hAnsi="宋体"/>
          <w:color w:val="auto"/>
          <w:sz w:val="24"/>
        </w:rPr>
      </w:pPr>
      <w:r>
        <w:rPr>
          <w:rFonts w:hint="eastAsia" w:ascii="宋体" w:hAnsi="宋体"/>
          <w:color w:val="auto"/>
          <w:sz w:val="24"/>
        </w:rPr>
        <w:t>2）数据接入功能必须支持与主流数据库进行对接，具体包括：Oracle、SQLServer、GaussDB、Mongodb、MySql、TeraData、</w:t>
      </w:r>
      <w:r>
        <w:rPr>
          <w:rFonts w:ascii="宋体" w:hAnsi="宋体"/>
          <w:color w:val="auto"/>
          <w:sz w:val="24"/>
        </w:rPr>
        <w:t>PostgreSql</w:t>
      </w:r>
      <w:r>
        <w:rPr>
          <w:rFonts w:hint="eastAsia" w:ascii="宋体" w:hAnsi="宋体"/>
          <w:color w:val="auto"/>
          <w:sz w:val="24"/>
        </w:rPr>
        <w:t>；</w:t>
      </w:r>
    </w:p>
    <w:p>
      <w:pPr>
        <w:widowControl/>
        <w:spacing w:line="360" w:lineRule="auto"/>
        <w:ind w:firstLine="480" w:firstLineChars="200"/>
        <w:rPr>
          <w:rFonts w:ascii="宋体" w:hAnsi="宋体"/>
          <w:color w:val="auto"/>
          <w:sz w:val="24"/>
        </w:rPr>
      </w:pPr>
      <w:r>
        <w:rPr>
          <w:rFonts w:hint="eastAsia" w:ascii="宋体" w:hAnsi="宋体"/>
          <w:color w:val="auto"/>
          <w:sz w:val="24"/>
        </w:rPr>
        <w:t>3）数据接入功能必须支持基于分布式文件系统的大数据存储库，例如HDFS、 Hive、Spark；</w:t>
      </w:r>
    </w:p>
    <w:p>
      <w:pPr>
        <w:pStyle w:val="2"/>
        <w:tabs>
          <w:tab w:val="left" w:pos="1260"/>
        </w:tabs>
        <w:spacing w:line="360" w:lineRule="auto"/>
        <w:ind w:firstLine="480" w:firstLineChars="200"/>
        <w:jc w:val="left"/>
        <w:rPr>
          <w:rFonts w:ascii="宋体" w:hAnsi="宋体"/>
          <w:color w:val="auto"/>
        </w:rPr>
      </w:pPr>
      <w:r>
        <w:rPr>
          <w:rFonts w:hint="eastAsia" w:ascii="宋体" w:hAnsi="宋体"/>
          <w:color w:val="auto"/>
        </w:rPr>
        <w:t>4）数据接入功能必须支持与文件类型的数据结构进行对接，例如csv、excle、json，以及防火墙、网络设备等的日志数据。</w:t>
      </w:r>
    </w:p>
    <w:p>
      <w:pPr>
        <w:spacing w:line="360" w:lineRule="auto"/>
        <w:rPr>
          <w:rFonts w:ascii="黑体" w:hAnsi="黑体" w:eastAsia="黑体" w:cs="黑体"/>
          <w:color w:val="auto"/>
          <w:sz w:val="24"/>
        </w:rPr>
      </w:pPr>
      <w:r>
        <w:rPr>
          <w:rFonts w:hint="eastAsia" w:ascii="黑体" w:hAnsi="黑体" w:eastAsia="黑体" w:cs="黑体"/>
          <w:color w:val="auto"/>
          <w:sz w:val="24"/>
        </w:rPr>
        <w:t>（2）数据可视化转换功能</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数据清洗的过程中，平台需要对采集的数据进行清洗、加工。清洗过程可视化，同时需要提供数据中文注释、数据过滤、列选择、列赋值、列重命名、数值计算、码表提取、码表赋值、地理解析、数据混淆、正则替换、等清洗组件。</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2）平台应支持针对复杂的数据清洗规则的可扩展性。提供Java代码数据清洗组件、JavaScript代码数据清洗组件、Groovy数据的清洗组件。</w:t>
      </w:r>
    </w:p>
    <w:p>
      <w:pPr>
        <w:pStyle w:val="2"/>
        <w:spacing w:line="360" w:lineRule="auto"/>
        <w:ind w:firstLine="480" w:firstLineChars="200"/>
        <w:jc w:val="left"/>
        <w:rPr>
          <w:rFonts w:ascii="宋体" w:hAnsi="宋体"/>
          <w:color w:val="auto"/>
        </w:rPr>
      </w:pPr>
      <w:r>
        <w:rPr>
          <w:rFonts w:hint="eastAsia" w:ascii="宋体" w:hAnsi="宋体"/>
          <w:color w:val="auto"/>
        </w:rPr>
        <w:t>3）平台针对各类清洗组件提供流水线清洗方法，根据连线顺序执行清洗步骤，同时在对清洗组件进行配置之后，可以进行数据预览以验证清洗规则配置是否生效。</w:t>
      </w:r>
    </w:p>
    <w:p>
      <w:pPr>
        <w:spacing w:line="360" w:lineRule="auto"/>
        <w:rPr>
          <w:rFonts w:ascii="黑体" w:hAnsi="黑体" w:eastAsia="黑体" w:cs="黑体"/>
          <w:color w:val="auto"/>
          <w:sz w:val="24"/>
        </w:rPr>
      </w:pPr>
      <w:r>
        <w:rPr>
          <w:rFonts w:hint="eastAsia" w:ascii="黑体" w:hAnsi="黑体" w:eastAsia="黑体" w:cs="黑体"/>
          <w:color w:val="auto"/>
          <w:sz w:val="24"/>
        </w:rPr>
        <w:t>（3）数据接入任务设置</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1）数据接入的任务需要可以设置定时运行，按照分钟、小时、天、周、月来进行设置，并可以通过日历的形式来浏览数据接入运行计划的情况。</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2）数据采集接口满足设置全量更新、以时间戳的方式设置增量更新</w:t>
      </w:r>
      <w:r>
        <w:rPr>
          <w:rFonts w:ascii="宋体" w:hAnsi="宋体"/>
          <w:color w:val="auto"/>
          <w:sz w:val="24"/>
        </w:rPr>
        <w:t>和</w:t>
      </w:r>
      <w:r>
        <w:rPr>
          <w:rFonts w:hint="eastAsia" w:ascii="宋体" w:hAnsi="宋体"/>
          <w:color w:val="auto"/>
          <w:sz w:val="24"/>
        </w:rPr>
        <w:t>以主键方式进行更新的能力。</w:t>
      </w:r>
    </w:p>
    <w:p>
      <w:pPr>
        <w:pStyle w:val="2"/>
        <w:spacing w:line="360" w:lineRule="auto"/>
        <w:ind w:firstLine="480" w:firstLineChars="200"/>
        <w:jc w:val="left"/>
        <w:rPr>
          <w:rFonts w:ascii="宋体" w:hAnsi="宋体"/>
          <w:color w:val="auto"/>
        </w:rPr>
      </w:pPr>
      <w:r>
        <w:rPr>
          <w:rFonts w:hint="eastAsia" w:ascii="宋体" w:hAnsi="宋体"/>
          <w:color w:val="auto"/>
        </w:rPr>
        <w:t>3）提供数据同步任务接口执行的监控功能，监控内容包括：根据时间筛选、查看任务执行状态、任务执行进度、开始时间、结束时间、总耗时、导入数据量、成功的数据量、失败的数据量、数据导入的速度。</w:t>
      </w:r>
    </w:p>
    <w:p>
      <w:pPr>
        <w:spacing w:line="360" w:lineRule="auto"/>
        <w:rPr>
          <w:rFonts w:ascii="黑体" w:hAnsi="黑体" w:eastAsia="黑体" w:cs="黑体"/>
          <w:color w:val="auto"/>
          <w:sz w:val="24"/>
        </w:rPr>
      </w:pPr>
      <w:r>
        <w:rPr>
          <w:rFonts w:hint="eastAsia" w:ascii="黑体" w:hAnsi="黑体" w:eastAsia="黑体" w:cs="黑体"/>
          <w:color w:val="auto"/>
          <w:sz w:val="24"/>
        </w:rPr>
        <w:t>（4）数据智能管理与指标构建</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1）针对采集上来的数据，在Web页面上可以查看每个索引中数据量大小以及占用的存储空间。</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 xml:space="preserve">2）提供数据日历功能，在日历上可以查看每天数据的增减变动情况、以及最早的数据日期和最晚的数据日期，并且可以在日历上进行数据的归档和删除操作。 </w:t>
      </w:r>
    </w:p>
    <w:p>
      <w:pPr>
        <w:pStyle w:val="10"/>
        <w:spacing w:line="360" w:lineRule="auto"/>
        <w:ind w:firstLine="480"/>
        <w:jc w:val="left"/>
        <w:rPr>
          <w:rFonts w:ascii="宋体" w:hAnsi="宋体"/>
          <w:color w:val="auto"/>
          <w:sz w:val="24"/>
        </w:rPr>
      </w:pPr>
      <w:r>
        <w:rPr>
          <w:rFonts w:hint="eastAsia" w:ascii="宋体" w:hAnsi="宋体"/>
          <w:color w:val="auto"/>
          <w:sz w:val="24"/>
        </w:rPr>
        <w:t>3）提供管理数据的功能，可以通过BQL构建器生成检索条件，对检索出来的数据明细可以进行编辑、删除、导出、批量修改。</w:t>
      </w:r>
    </w:p>
    <w:p>
      <w:pPr>
        <w:pStyle w:val="10"/>
        <w:spacing w:line="360" w:lineRule="auto"/>
        <w:ind w:firstLine="480"/>
        <w:jc w:val="left"/>
        <w:rPr>
          <w:rFonts w:ascii="宋体" w:hAnsi="宋体"/>
          <w:color w:val="auto"/>
          <w:sz w:val="24"/>
        </w:rPr>
      </w:pPr>
      <w:r>
        <w:rPr>
          <w:rFonts w:hint="eastAsia" w:ascii="宋体" w:hAnsi="宋体"/>
          <w:color w:val="auto"/>
          <w:sz w:val="24"/>
        </w:rPr>
        <w:t>4）针对数据字段可以进行值映射、生成计算列、生成自定义列、对列进行分组、以及敏感字段设置、隐藏字段设置。</w:t>
      </w:r>
    </w:p>
    <w:p>
      <w:pPr>
        <w:pStyle w:val="2"/>
        <w:spacing w:line="360" w:lineRule="auto"/>
        <w:ind w:firstLine="480" w:firstLineChars="200"/>
        <w:jc w:val="left"/>
        <w:rPr>
          <w:rFonts w:ascii="宋体" w:hAnsi="宋体"/>
          <w:color w:val="auto"/>
        </w:rPr>
      </w:pPr>
      <w:r>
        <w:rPr>
          <w:rFonts w:hint="eastAsia" w:ascii="宋体" w:hAnsi="宋体"/>
          <w:color w:val="auto"/>
        </w:rPr>
        <w:t>5）系统需要提供对数据的归档策略设置功能，对归档的时间、归档的策略进配置，对归档的日志进行查看。</w:t>
      </w:r>
    </w:p>
    <w:p>
      <w:pPr>
        <w:spacing w:line="360" w:lineRule="auto"/>
        <w:rPr>
          <w:rFonts w:ascii="黑体" w:hAnsi="黑体" w:eastAsia="黑体" w:cs="黑体"/>
          <w:color w:val="auto"/>
          <w:sz w:val="24"/>
        </w:rPr>
      </w:pPr>
      <w:r>
        <w:rPr>
          <w:rFonts w:hint="eastAsia" w:ascii="黑体" w:hAnsi="黑体" w:eastAsia="黑体" w:cs="黑体"/>
          <w:color w:val="auto"/>
          <w:sz w:val="24"/>
        </w:rPr>
        <w:t>1.2 数据可视化分析系统</w:t>
      </w:r>
    </w:p>
    <w:p>
      <w:pPr>
        <w:spacing w:line="360" w:lineRule="auto"/>
        <w:rPr>
          <w:rFonts w:ascii="黑体" w:hAnsi="黑体" w:eastAsia="黑体" w:cs="黑体"/>
          <w:color w:val="auto"/>
          <w:sz w:val="24"/>
        </w:rPr>
      </w:pPr>
      <w:r>
        <w:rPr>
          <w:rFonts w:hint="eastAsia" w:ascii="黑体" w:hAnsi="黑体" w:eastAsia="黑体" w:cs="黑体"/>
          <w:color w:val="auto"/>
          <w:sz w:val="24"/>
        </w:rPr>
        <w:t>（1）图表生成功能</w:t>
      </w:r>
    </w:p>
    <w:p>
      <w:pPr>
        <w:tabs>
          <w:tab w:val="left" w:pos="1868"/>
        </w:tabs>
        <w:spacing w:line="360" w:lineRule="auto"/>
        <w:ind w:firstLine="480" w:firstLineChars="200"/>
        <w:jc w:val="left"/>
        <w:rPr>
          <w:rFonts w:ascii="宋体" w:hAnsi="宋体"/>
          <w:color w:val="auto"/>
          <w:sz w:val="24"/>
        </w:rPr>
      </w:pPr>
      <w:r>
        <w:rPr>
          <w:rFonts w:hint="eastAsia" w:ascii="宋体" w:hAnsi="宋体"/>
          <w:color w:val="auto"/>
          <w:sz w:val="24"/>
        </w:rPr>
        <w:t>1）数据可视化分析套件需支持丰富的分析图表类型，并且支持以组件化的方式提供特殊报表的二次开发能力，支持的常用图表包括：数值图、仪表盘、饼图、线图、区域图、柱状图、混合图、散点图、气泡图、热力图、地图、词云图、轨迹图、列表图、雷达图等多种生动的展现形式，同时可根据不同的数据结构，进行图表的一键切换以及样式、颜色、文本等个性化配置。</w:t>
      </w:r>
    </w:p>
    <w:p>
      <w:pPr>
        <w:tabs>
          <w:tab w:val="left" w:pos="1868"/>
        </w:tabs>
        <w:spacing w:line="360" w:lineRule="auto"/>
        <w:ind w:firstLine="480" w:firstLineChars="200"/>
        <w:jc w:val="left"/>
        <w:rPr>
          <w:rFonts w:ascii="宋体" w:hAnsi="宋体"/>
          <w:color w:val="auto"/>
          <w:sz w:val="24"/>
        </w:rPr>
      </w:pPr>
      <w:r>
        <w:rPr>
          <w:rFonts w:hint="eastAsia" w:ascii="宋体" w:hAnsi="宋体"/>
          <w:color w:val="auto"/>
          <w:sz w:val="24"/>
        </w:rPr>
        <w:t>2）所有配置生成的图表需要具备分享外链的功能，可集成学校的移动门户以及信息化统一平台。遵循HTML5规范，支持手机、PAD等移动终端的访问，支持大屏可视化，同时支持导出图片、PDF、excel的功能。</w:t>
      </w:r>
    </w:p>
    <w:p>
      <w:pPr>
        <w:tabs>
          <w:tab w:val="left" w:pos="1868"/>
        </w:tabs>
        <w:spacing w:line="360" w:lineRule="auto"/>
        <w:ind w:firstLine="480" w:firstLineChars="200"/>
        <w:jc w:val="left"/>
        <w:rPr>
          <w:rFonts w:ascii="宋体" w:hAnsi="宋体"/>
          <w:color w:val="auto"/>
          <w:sz w:val="24"/>
        </w:rPr>
      </w:pPr>
      <w:r>
        <w:rPr>
          <w:rFonts w:hint="eastAsia" w:ascii="宋体" w:hAnsi="宋体"/>
          <w:color w:val="auto"/>
          <w:sz w:val="24"/>
        </w:rPr>
        <w:t>3）图表的构建过程需要具备辅助向导功能，简单易用。同时在图表构建完成之后，可以自动生成针对图表的构建描述说明。</w:t>
      </w:r>
    </w:p>
    <w:p>
      <w:pPr>
        <w:pStyle w:val="2"/>
        <w:spacing w:line="360" w:lineRule="auto"/>
        <w:ind w:firstLine="480" w:firstLineChars="200"/>
        <w:jc w:val="left"/>
        <w:rPr>
          <w:rFonts w:ascii="宋体" w:hAnsi="宋体"/>
          <w:color w:val="auto"/>
        </w:rPr>
      </w:pPr>
      <w:r>
        <w:rPr>
          <w:rFonts w:hint="eastAsia" w:ascii="宋体" w:hAnsi="宋体"/>
          <w:color w:val="auto"/>
        </w:rPr>
        <w:t>4）支持针对图表样式的图形化开发编排能力，可以针对图表样式在Web上直接进行开发，样式库需同时支持Highcharts和ECharts两种。</w:t>
      </w:r>
    </w:p>
    <w:p>
      <w:pPr>
        <w:tabs>
          <w:tab w:val="left" w:pos="1868"/>
        </w:tabs>
        <w:spacing w:line="360" w:lineRule="auto"/>
        <w:ind w:firstLine="480" w:firstLineChars="200"/>
        <w:jc w:val="left"/>
        <w:rPr>
          <w:rFonts w:ascii="宋体" w:hAnsi="宋体"/>
          <w:color w:val="auto"/>
          <w:sz w:val="24"/>
        </w:rPr>
      </w:pPr>
      <w:r>
        <w:rPr>
          <w:rFonts w:hint="eastAsia" w:ascii="宋体" w:hAnsi="宋体"/>
          <w:color w:val="auto"/>
          <w:sz w:val="24"/>
        </w:rPr>
        <w:t>5）支持添加普通序列以及计算序列用来丰富图表的展现维度。同时支持拖拉拽的方式，从数据盒中拖拽数据维度选项，并可以对选取的不同数据维度选项进行按照时间、结果数量、排序方式等操作设置。</w:t>
      </w:r>
    </w:p>
    <w:p>
      <w:pPr>
        <w:tabs>
          <w:tab w:val="left" w:pos="1868"/>
        </w:tabs>
        <w:spacing w:line="360" w:lineRule="auto"/>
        <w:ind w:firstLine="480" w:firstLineChars="200"/>
        <w:jc w:val="left"/>
        <w:rPr>
          <w:rFonts w:ascii="宋体" w:hAnsi="宋体"/>
          <w:color w:val="auto"/>
          <w:sz w:val="24"/>
        </w:rPr>
      </w:pPr>
      <w:r>
        <w:rPr>
          <w:rFonts w:hint="eastAsia" w:ascii="宋体" w:hAnsi="宋体"/>
          <w:color w:val="auto"/>
          <w:sz w:val="24"/>
        </w:rPr>
        <w:t>6）为了提高数据的利用效率，图表所选取数据集中的数据模型，不但可以直接调用已有的字段指标列，还可以对已有的字段指标列进行二次自定义过滤、计算之后生成新的字段，自定义的新字段指标列类型包括：自定义维度、时间区间、数值区间、统计值、统计值的计算、加权平均等。</w:t>
      </w:r>
    </w:p>
    <w:p>
      <w:pPr>
        <w:pStyle w:val="2"/>
        <w:spacing w:line="360" w:lineRule="auto"/>
        <w:ind w:firstLine="480" w:firstLineChars="200"/>
        <w:jc w:val="left"/>
        <w:rPr>
          <w:color w:val="auto"/>
        </w:rPr>
      </w:pPr>
      <w:r>
        <w:rPr>
          <w:rFonts w:hint="eastAsia" w:ascii="宋体" w:hAnsi="宋体"/>
          <w:color w:val="auto"/>
        </w:rPr>
        <w:t>7）图表的维度列可以查询数据明细、下钻数据、联动显示，同时需支持图表、仪表板和数据报表之间的有目的带参数跳转。</w:t>
      </w:r>
    </w:p>
    <w:p>
      <w:pPr>
        <w:spacing w:line="360" w:lineRule="auto"/>
        <w:rPr>
          <w:rFonts w:ascii="黑体" w:hAnsi="黑体" w:eastAsia="黑体" w:cs="黑体"/>
          <w:color w:val="auto"/>
          <w:sz w:val="24"/>
        </w:rPr>
      </w:pPr>
      <w:r>
        <w:rPr>
          <w:rFonts w:hint="eastAsia" w:ascii="黑体" w:hAnsi="黑体" w:eastAsia="黑体" w:cs="黑体"/>
          <w:color w:val="auto"/>
          <w:sz w:val="24"/>
        </w:rPr>
        <w:t>（2）仪表板功能</w:t>
      </w:r>
    </w:p>
    <w:p>
      <w:pPr>
        <w:tabs>
          <w:tab w:val="left" w:pos="1868"/>
        </w:tabs>
        <w:spacing w:line="360" w:lineRule="auto"/>
        <w:ind w:firstLine="480" w:firstLineChars="200"/>
        <w:rPr>
          <w:rFonts w:ascii="宋体" w:hAnsi="宋体" w:cs="宋体"/>
          <w:color w:val="auto"/>
          <w:sz w:val="24"/>
        </w:rPr>
      </w:pPr>
      <w:r>
        <w:rPr>
          <w:rFonts w:hint="eastAsia" w:ascii="宋体" w:hAnsi="宋体" w:cs="宋体"/>
          <w:color w:val="auto"/>
          <w:sz w:val="24"/>
        </w:rPr>
        <w:t>1）仪表板是各类分析图表的集合展示，提供的组件需要包括数据报表、图表、图片、横幅、文本、时钟、HTML、过滤组件，界面排版布局方式支持自动编排模式和手动编排模式两种，操作方式支持拖拽、拼接。支持仪表板下的图表能够进行批量的设定样式。</w:t>
      </w:r>
    </w:p>
    <w:p>
      <w:pPr>
        <w:pStyle w:val="3"/>
        <w:spacing w:line="360" w:lineRule="auto"/>
        <w:ind w:firstLine="480" w:firstLineChars="200"/>
        <w:jc w:val="left"/>
        <w:rPr>
          <w:rFonts w:ascii="宋体" w:hAnsi="宋体" w:cs="宋体"/>
          <w:color w:val="auto"/>
        </w:rPr>
      </w:pPr>
      <w:r>
        <w:rPr>
          <w:rFonts w:hint="eastAsia" w:ascii="宋体" w:hAnsi="宋体" w:cs="宋体"/>
          <w:color w:val="auto"/>
        </w:rPr>
        <w:t>2）支持对仪表板的自动刷新时间进行自定义设置，可设置到秒级以支持数据的实时展现，当数据表中的数据发生变化后，可实现仪表盘的自动刷新。例如迎新仪表板大屏中，已经办理完成的学生，更新的状态要能实时展现到大屏上。</w:t>
      </w:r>
    </w:p>
    <w:p>
      <w:pPr>
        <w:pStyle w:val="3"/>
        <w:spacing w:line="360" w:lineRule="auto"/>
        <w:ind w:firstLine="480" w:firstLineChars="200"/>
        <w:jc w:val="left"/>
        <w:rPr>
          <w:rFonts w:ascii="宋体" w:hAnsi="宋体" w:cs="宋体"/>
          <w:color w:val="auto"/>
        </w:rPr>
      </w:pPr>
      <w:r>
        <w:rPr>
          <w:rFonts w:hint="eastAsia" w:ascii="宋体" w:hAnsi="宋体" w:cs="宋体"/>
          <w:color w:val="auto"/>
        </w:rPr>
        <w:t>3）支持对仪表板中数据进行OLAP操作，功能包括明细查看、收藏、数据筛选、数据下钻、带参跳转，所有的操作支持仪表板数据联动变化，并且可以通过时间过滤器来查看任意一个时间点或者时间段的数据情况。</w:t>
      </w:r>
    </w:p>
    <w:p>
      <w:pPr>
        <w:tabs>
          <w:tab w:val="left" w:pos="1868"/>
        </w:tabs>
        <w:spacing w:line="360" w:lineRule="auto"/>
        <w:ind w:firstLine="480" w:firstLineChars="200"/>
        <w:jc w:val="left"/>
        <w:rPr>
          <w:rFonts w:ascii="宋体" w:hAnsi="宋体" w:cs="宋体"/>
          <w:color w:val="auto"/>
          <w:sz w:val="24"/>
        </w:rPr>
      </w:pPr>
      <w:r>
        <w:rPr>
          <w:rFonts w:hint="eastAsia" w:ascii="宋体" w:hAnsi="宋体" w:cs="宋体"/>
          <w:color w:val="auto"/>
          <w:sz w:val="24"/>
        </w:rPr>
        <w:t>4）所有配置生成的仪表板需要支持外链分享，并可对外链进行菜单授权控制以及数据权限控制，可集成到学校的门户及移动校园等应用平台上。</w:t>
      </w:r>
    </w:p>
    <w:p>
      <w:pPr>
        <w:tabs>
          <w:tab w:val="left" w:pos="1868"/>
        </w:tabs>
        <w:spacing w:line="360" w:lineRule="auto"/>
        <w:ind w:firstLine="480" w:firstLineChars="200"/>
        <w:jc w:val="left"/>
        <w:rPr>
          <w:rFonts w:ascii="宋体" w:hAnsi="宋体" w:cs="宋体"/>
          <w:color w:val="auto"/>
          <w:sz w:val="24"/>
        </w:rPr>
      </w:pPr>
      <w:r>
        <w:rPr>
          <w:rFonts w:hint="eastAsia" w:ascii="宋体" w:hAnsi="宋体" w:cs="宋体"/>
          <w:color w:val="auto"/>
          <w:sz w:val="24"/>
        </w:rPr>
        <w:t>5）系统需要支持搜索式的数据分析方式，可直接在搜索框或者数据筛选框内输入要搜索的关键字文本，进行搜索。例如在搜索框中输入“博士”两个字，学校人事仪表板中就会把所有跟博士相关的例如年龄分布、院系分布、科研分布等结果关联查询，动态展示出来。</w:t>
      </w:r>
    </w:p>
    <w:p>
      <w:pPr>
        <w:tabs>
          <w:tab w:val="left" w:pos="1868"/>
        </w:tabs>
        <w:spacing w:line="360" w:lineRule="auto"/>
        <w:ind w:firstLine="480" w:firstLineChars="200"/>
        <w:jc w:val="left"/>
        <w:rPr>
          <w:rFonts w:ascii="宋体" w:hAnsi="宋体" w:cs="宋体"/>
          <w:color w:val="auto"/>
          <w:sz w:val="24"/>
        </w:rPr>
      </w:pPr>
      <w:r>
        <w:rPr>
          <w:rFonts w:hint="eastAsia" w:ascii="宋体" w:hAnsi="宋体" w:cs="宋体"/>
          <w:color w:val="auto"/>
          <w:sz w:val="24"/>
        </w:rPr>
        <w:t>6）支持通过自然语言表达式的方式构建检索条件，操作过程系统自动智能提示。表达式之间可以以"并且"、"或者"来进行逻辑上的并/或的操作，表达式之间支持用括号（）进行复合，使得没有IT基础的老师也可以和数据进行对话交流。例如老师输出“学号”两个字，系统会自动提示接下来选择等于或者不等于，选择完之后，系统会自动提示选择或输入一个学号，以此类推，直到完成一个检索条件。</w:t>
      </w:r>
    </w:p>
    <w:p>
      <w:pPr>
        <w:pStyle w:val="2"/>
        <w:spacing w:line="360" w:lineRule="auto"/>
        <w:ind w:firstLine="480" w:firstLineChars="200"/>
        <w:jc w:val="left"/>
        <w:rPr>
          <w:rFonts w:ascii="宋体" w:hAnsi="宋体" w:cs="宋体"/>
          <w:color w:val="auto"/>
        </w:rPr>
      </w:pPr>
      <w:r>
        <w:rPr>
          <w:rFonts w:hint="eastAsia" w:ascii="宋体" w:hAnsi="宋体" w:cs="宋体"/>
          <w:color w:val="auto"/>
        </w:rPr>
        <w:t>7）仪表板需具备主题风格一键替换的功能。系统需内置不少于5套主题模板。</w:t>
      </w:r>
    </w:p>
    <w:p>
      <w:pPr>
        <w:spacing w:line="360" w:lineRule="auto"/>
        <w:rPr>
          <w:rFonts w:ascii="黑体" w:hAnsi="黑体" w:eastAsia="黑体" w:cs="黑体"/>
          <w:color w:val="auto"/>
          <w:sz w:val="24"/>
        </w:rPr>
      </w:pPr>
      <w:r>
        <w:rPr>
          <w:rFonts w:hint="eastAsia" w:ascii="黑体" w:hAnsi="黑体" w:eastAsia="黑体" w:cs="黑体"/>
          <w:color w:val="auto"/>
          <w:sz w:val="24"/>
        </w:rPr>
        <w:t>（3）数据报表功能</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1）数据报表能够将数据集中的数据以表格的形式进行展示和分析。同仪表板类似，数据报表也应有独立的权限控制、数据筛选功能。另外可以对数据进行导出。</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2）数据报表需支持拖拽数据字段至透视行，透视列，设置计算方式后自动生成透视数据报表，并可灵活配置筛选条件。</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3）支持配置复杂计算表达式完成同比/环比/加权平均值等复杂计算逻辑。</w:t>
      </w:r>
    </w:p>
    <w:p>
      <w:pPr>
        <w:pStyle w:val="10"/>
        <w:spacing w:line="360" w:lineRule="auto"/>
        <w:ind w:firstLine="480"/>
        <w:jc w:val="left"/>
        <w:rPr>
          <w:rFonts w:ascii="宋体" w:hAnsi="宋体"/>
          <w:color w:val="auto"/>
          <w:sz w:val="24"/>
        </w:rPr>
      </w:pPr>
      <w:r>
        <w:rPr>
          <w:rFonts w:hint="eastAsia" w:ascii="宋体" w:hAnsi="宋体"/>
          <w:color w:val="auto"/>
          <w:sz w:val="24"/>
        </w:rPr>
        <w:t>4）透视报表应具备Web可视化样式设计功能（类似绘制 Excel 表格），调节报表的表现样式，支持报表的带设计格式导出为JPEG图片、 Excel或PDF。</w:t>
      </w:r>
    </w:p>
    <w:p>
      <w:pPr>
        <w:pStyle w:val="10"/>
        <w:spacing w:line="360" w:lineRule="auto"/>
        <w:ind w:firstLine="480"/>
        <w:jc w:val="left"/>
        <w:rPr>
          <w:rFonts w:ascii="宋体" w:hAnsi="宋体"/>
          <w:color w:val="auto"/>
          <w:sz w:val="24"/>
        </w:rPr>
      </w:pPr>
      <w:r>
        <w:rPr>
          <w:rFonts w:hint="eastAsia" w:ascii="宋体" w:hAnsi="宋体"/>
          <w:color w:val="auto"/>
          <w:sz w:val="24"/>
        </w:rPr>
        <w:t>5）在Web可视化样式设计模式下，对报表中的字段格式可以进行设置，功能包括：千分位分隔符、前缀、后缀、单位、小数点位数、字段计算公式。</w:t>
      </w:r>
    </w:p>
    <w:p>
      <w:pPr>
        <w:pStyle w:val="2"/>
        <w:spacing w:line="360" w:lineRule="auto"/>
        <w:ind w:firstLine="480" w:firstLineChars="200"/>
        <w:jc w:val="left"/>
        <w:rPr>
          <w:rFonts w:ascii="宋体" w:hAnsi="宋体"/>
          <w:color w:val="auto"/>
        </w:rPr>
      </w:pPr>
      <w:r>
        <w:rPr>
          <w:rFonts w:hint="eastAsia" w:ascii="宋体" w:hAnsi="宋体"/>
          <w:color w:val="auto"/>
        </w:rPr>
        <w:t>6）支持自定义配置报表的字段筛选器，可对筛选字段进行多选、必填、默认值的配置。以保证用户在查看报表时候筛选器的灵活性。</w:t>
      </w:r>
    </w:p>
    <w:p>
      <w:pPr>
        <w:spacing w:line="360" w:lineRule="auto"/>
        <w:rPr>
          <w:rFonts w:ascii="黑体" w:hAnsi="黑体" w:eastAsia="黑体" w:cs="黑体"/>
          <w:color w:val="auto"/>
          <w:sz w:val="24"/>
        </w:rPr>
      </w:pPr>
      <w:r>
        <w:rPr>
          <w:rFonts w:hint="eastAsia" w:ascii="黑体" w:hAnsi="黑体" w:eastAsia="黑体" w:cs="黑体"/>
          <w:color w:val="auto"/>
          <w:sz w:val="24"/>
        </w:rPr>
        <w:t>（4）权限管理功能</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1）权限需要支撑学校领导、各级部门领导的分权管理。针对同一个分析看板，不同的用户身份进来查阅，数据应自动权限过滤。例如校领导查看全局，计算机学院院长只能看到和计算机学院相关的数据。</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2）平台须支持针对底层待分析的数据源头进行数据权限拆分，针对指定接入的数据集，结合其数据集中涉及组织机构、用户属性等数据信息项，进行设定关联权限。</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3）平台须支持指定数据关联权限与学校统一身份认证体系融合，结合用户关联数据信息（如：辅导员带班信息）等进行数据显示控制。</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4）平台须支持指定数据拆分权限的用户组是可灵活定义的，如辅导员用户组，需要涉及所有辅导员所带班级下的各类数据，用户组的成员名单可以随时调整配置。</w:t>
      </w:r>
    </w:p>
    <w:p>
      <w:pPr>
        <w:pStyle w:val="2"/>
        <w:spacing w:line="360" w:lineRule="auto"/>
        <w:ind w:firstLine="480" w:firstLineChars="200"/>
        <w:jc w:val="left"/>
        <w:rPr>
          <w:rFonts w:ascii="宋体" w:hAnsi="宋体"/>
          <w:color w:val="auto"/>
        </w:rPr>
      </w:pPr>
      <w:r>
        <w:rPr>
          <w:rFonts w:hint="eastAsia" w:ascii="宋体" w:hAnsi="宋体"/>
          <w:color w:val="auto"/>
        </w:rPr>
        <w:t>5）配置数据权限拆分后，必须做到后续该数据源所有配置与分析的图表自动具备权限拆分能力，而非手工为每个图表单独设定权限。</w:t>
      </w:r>
    </w:p>
    <w:p>
      <w:pPr>
        <w:spacing w:line="360" w:lineRule="auto"/>
        <w:rPr>
          <w:rFonts w:ascii="黑体" w:hAnsi="黑体" w:eastAsia="黑体" w:cs="黑体"/>
          <w:color w:val="auto"/>
          <w:sz w:val="24"/>
        </w:rPr>
      </w:pPr>
      <w:r>
        <w:rPr>
          <w:rFonts w:hint="eastAsia" w:ascii="黑体" w:hAnsi="黑体" w:eastAsia="黑体" w:cs="黑体"/>
          <w:color w:val="auto"/>
          <w:sz w:val="24"/>
        </w:rPr>
        <w:t>1.3 可视化资产管理系统</w:t>
      </w:r>
    </w:p>
    <w:p>
      <w:pPr>
        <w:widowControl/>
        <w:spacing w:line="360" w:lineRule="auto"/>
        <w:ind w:firstLine="480" w:firstLineChars="200"/>
        <w:rPr>
          <w:rFonts w:ascii="宋体" w:hAnsi="宋体"/>
          <w:color w:val="auto"/>
          <w:sz w:val="24"/>
        </w:rPr>
      </w:pPr>
      <w:r>
        <w:rPr>
          <w:rFonts w:hint="eastAsia" w:ascii="宋体" w:hAnsi="宋体"/>
          <w:color w:val="auto"/>
          <w:sz w:val="24"/>
        </w:rPr>
        <w:t>可视化平台中采集的数据、制作的指标分析图表、主题仪表板、数据报表等都是属于学校的可视化资产，平台中需要对这些资产进行一站式分权限可视化管理。权限方面应支持：个人资产、组织机构空间、项目空间、个人目录、收藏夹，以应对后续学校针对数据方面的管理工作。</w:t>
      </w:r>
    </w:p>
    <w:p>
      <w:pPr>
        <w:widowControl/>
        <w:spacing w:line="360" w:lineRule="auto"/>
        <w:ind w:firstLine="480" w:firstLineChars="200"/>
        <w:rPr>
          <w:rFonts w:ascii="宋体" w:hAnsi="宋体"/>
          <w:color w:val="auto"/>
          <w:sz w:val="24"/>
        </w:rPr>
      </w:pPr>
      <w:r>
        <w:rPr>
          <w:rFonts w:hint="eastAsia" w:ascii="宋体" w:hAnsi="宋体"/>
          <w:color w:val="auto"/>
          <w:sz w:val="24"/>
        </w:rPr>
        <w:t>（1）个人资产管理：个人权限下的数据集，以及自己用户账户配置的图表、仪表板以及数据报表，不可以看到其他用户的数据资产。</w:t>
      </w:r>
    </w:p>
    <w:p>
      <w:pPr>
        <w:widowControl/>
        <w:spacing w:line="360" w:lineRule="auto"/>
        <w:ind w:firstLine="480" w:firstLineChars="200"/>
        <w:rPr>
          <w:rFonts w:ascii="宋体" w:hAnsi="宋体"/>
          <w:color w:val="auto"/>
          <w:sz w:val="24"/>
        </w:rPr>
      </w:pPr>
      <w:r>
        <w:rPr>
          <w:rFonts w:hint="eastAsia" w:ascii="宋体" w:hAnsi="宋体"/>
          <w:color w:val="auto"/>
          <w:sz w:val="24"/>
        </w:rPr>
        <w:t>（2）组织机构空间：基于用户所在部门来显示当前部门机构可以开放的数据资源，机构空间下，多数用户只有浏览的权限，只有部门管理员和少数用户有权限修改其中的资产。</w:t>
      </w:r>
    </w:p>
    <w:p>
      <w:pPr>
        <w:widowControl/>
        <w:spacing w:line="360" w:lineRule="auto"/>
        <w:ind w:firstLine="480" w:firstLineChars="200"/>
        <w:rPr>
          <w:rFonts w:ascii="宋体" w:hAnsi="宋体"/>
          <w:color w:val="auto"/>
          <w:sz w:val="24"/>
        </w:rPr>
      </w:pPr>
      <w:r>
        <w:rPr>
          <w:rFonts w:hint="eastAsia" w:ascii="宋体" w:hAnsi="宋体"/>
          <w:color w:val="auto"/>
          <w:sz w:val="24"/>
        </w:rPr>
        <w:t>（3）项目空间：可用于管理特定的数据分析项目并与项目组用户共同开发，更多针对临时性的数据资产开放，便于协作办公。</w:t>
      </w:r>
    </w:p>
    <w:p>
      <w:pPr>
        <w:widowControl/>
        <w:spacing w:line="360" w:lineRule="auto"/>
        <w:ind w:firstLine="480" w:firstLineChars="200"/>
        <w:rPr>
          <w:rFonts w:ascii="宋体" w:hAnsi="宋体"/>
          <w:color w:val="auto"/>
          <w:sz w:val="24"/>
        </w:rPr>
      </w:pPr>
      <w:r>
        <w:rPr>
          <w:rFonts w:hint="eastAsia" w:ascii="宋体" w:hAnsi="宋体"/>
          <w:color w:val="auto"/>
          <w:sz w:val="24"/>
        </w:rPr>
        <w:t>（4）驾驶舱资源目录：根据学校领导驾驶舱的实际目录结构，可灵活自由的设置目录及目录中的菜单以及菜单所关联的分析主题，并可以对目录及菜单进行分级查看授权。</w:t>
      </w:r>
    </w:p>
    <w:p>
      <w:pPr>
        <w:widowControl/>
        <w:spacing w:line="360" w:lineRule="auto"/>
        <w:ind w:firstLine="480" w:firstLineChars="200"/>
        <w:rPr>
          <w:rFonts w:ascii="宋体" w:hAnsi="宋体"/>
          <w:color w:val="auto"/>
          <w:sz w:val="24"/>
        </w:rPr>
      </w:pPr>
      <w:r>
        <w:rPr>
          <w:rFonts w:hint="eastAsia" w:ascii="宋体" w:hAnsi="宋体"/>
          <w:color w:val="auto"/>
          <w:sz w:val="24"/>
        </w:rPr>
        <w:t>（5）收藏夹：收藏夹用于保存用户个人到可视化资产的快捷链接。</w:t>
      </w:r>
    </w:p>
    <w:p>
      <w:pPr>
        <w:spacing w:line="360" w:lineRule="auto"/>
        <w:rPr>
          <w:rFonts w:ascii="黑体" w:hAnsi="黑体" w:eastAsia="黑体" w:cs="黑体"/>
          <w:color w:val="auto"/>
          <w:sz w:val="24"/>
        </w:rPr>
      </w:pPr>
      <w:r>
        <w:rPr>
          <w:rFonts w:hint="eastAsia" w:ascii="黑体" w:hAnsi="黑体" w:eastAsia="黑体" w:cs="黑体"/>
          <w:color w:val="auto"/>
          <w:sz w:val="24"/>
        </w:rPr>
        <w:t>1.4 移动端分析套件</w:t>
      </w:r>
    </w:p>
    <w:p>
      <w:pPr>
        <w:widowControl/>
        <w:spacing w:line="360" w:lineRule="auto"/>
        <w:ind w:firstLine="480" w:firstLineChars="200"/>
        <w:rPr>
          <w:rFonts w:ascii="宋体" w:hAnsi="宋体"/>
          <w:color w:val="auto"/>
          <w:sz w:val="24"/>
        </w:rPr>
      </w:pPr>
      <w:r>
        <w:rPr>
          <w:rFonts w:hint="eastAsia" w:ascii="宋体" w:hAnsi="宋体"/>
          <w:color w:val="auto"/>
          <w:sz w:val="24"/>
        </w:rPr>
        <w:t>（1）系统支持构建移动端看板，分析组件可以直接引用Web端的组件自动适配，同时，提供手机模拟器来作为布局参照和效果预览，支持全部主流手机型号。</w:t>
      </w:r>
    </w:p>
    <w:p>
      <w:pPr>
        <w:widowControl/>
        <w:spacing w:line="360" w:lineRule="auto"/>
        <w:ind w:firstLine="480" w:firstLineChars="200"/>
        <w:rPr>
          <w:rFonts w:ascii="宋体" w:hAnsi="宋体"/>
          <w:color w:val="auto"/>
          <w:sz w:val="24"/>
        </w:rPr>
      </w:pPr>
      <w:r>
        <w:rPr>
          <w:rFonts w:hint="eastAsia" w:ascii="宋体" w:hAnsi="宋体"/>
          <w:color w:val="auto"/>
          <w:sz w:val="24"/>
        </w:rPr>
        <w:t>（2）平台的分析看板支持Web仪表板和移动仪表板之间的切换。可以在移动样式下对图表组件进行布局。</w:t>
      </w:r>
    </w:p>
    <w:p>
      <w:pPr>
        <w:widowControl/>
        <w:spacing w:line="360" w:lineRule="auto"/>
        <w:ind w:firstLine="480" w:firstLineChars="200"/>
        <w:rPr>
          <w:rFonts w:ascii="宋体" w:hAnsi="宋体"/>
          <w:color w:val="auto"/>
          <w:sz w:val="24"/>
        </w:rPr>
      </w:pPr>
      <w:r>
        <w:rPr>
          <w:rFonts w:hint="eastAsia" w:ascii="宋体" w:hAnsi="宋体"/>
          <w:color w:val="auto"/>
          <w:sz w:val="24"/>
        </w:rPr>
        <w:t>（3）移动端仪表板的页面布局模式至少应该包含两种模式：手动模式由用户自己基于图表结构自行拖拽布局；自动模式则平台须基于仪表板的内容智能判断，并进行页面布局。</w:t>
      </w:r>
    </w:p>
    <w:p>
      <w:pPr>
        <w:widowControl/>
        <w:spacing w:line="360" w:lineRule="auto"/>
        <w:ind w:firstLine="480" w:firstLineChars="200"/>
        <w:rPr>
          <w:rFonts w:ascii="宋体" w:hAnsi="宋体"/>
          <w:color w:val="auto"/>
          <w:sz w:val="24"/>
        </w:rPr>
      </w:pPr>
      <w:r>
        <w:rPr>
          <w:rFonts w:hint="eastAsia" w:ascii="宋体" w:hAnsi="宋体"/>
          <w:color w:val="auto"/>
          <w:sz w:val="24"/>
        </w:rPr>
        <w:t>（4）系统支持通过白名单公开访问和需要鉴权的身份登录验证两种方式进行移动看板的外链发布，系统会自动生成访问链接及预览二维码。公开访问需要具备生成访问码功能；登录验证需要具备面向指定用户授权访问的配置功能。同时，针对外链还可以进行查看明细、搜索、时间筛选等功能的配置。</w:t>
      </w:r>
    </w:p>
    <w:p>
      <w:pPr>
        <w:widowControl/>
        <w:spacing w:line="360" w:lineRule="auto"/>
        <w:ind w:firstLine="480" w:firstLineChars="200"/>
        <w:rPr>
          <w:rFonts w:ascii="宋体" w:hAnsi="宋体"/>
          <w:color w:val="auto"/>
          <w:sz w:val="24"/>
        </w:rPr>
      </w:pPr>
      <w:r>
        <w:rPr>
          <w:rFonts w:hint="eastAsia" w:ascii="宋体" w:hAnsi="宋体"/>
          <w:color w:val="auto"/>
          <w:sz w:val="24"/>
        </w:rPr>
        <w:t>（5）移动平台生成的外部链接需支持集成WeLink、移动校园APP、微信、钉钉等移动平台。</w:t>
      </w:r>
    </w:p>
    <w:p>
      <w:pPr>
        <w:spacing w:line="360" w:lineRule="auto"/>
        <w:rPr>
          <w:rFonts w:ascii="黑体" w:hAnsi="黑体" w:eastAsia="黑体" w:cs="黑体"/>
          <w:color w:val="auto"/>
          <w:sz w:val="24"/>
        </w:rPr>
      </w:pPr>
      <w:r>
        <w:rPr>
          <w:rFonts w:hint="eastAsia" w:ascii="黑体" w:hAnsi="黑体" w:eastAsia="黑体" w:cs="黑体"/>
          <w:color w:val="auto"/>
          <w:sz w:val="24"/>
        </w:rPr>
        <w:t>2、领导驾驶舱应用</w:t>
      </w:r>
    </w:p>
    <w:p>
      <w:pPr>
        <w:widowControl/>
        <w:spacing w:line="360" w:lineRule="auto"/>
        <w:ind w:firstLine="480" w:firstLineChars="200"/>
        <w:rPr>
          <w:rFonts w:ascii="宋体" w:hAnsi="宋体"/>
          <w:color w:val="auto"/>
          <w:sz w:val="24"/>
        </w:rPr>
      </w:pPr>
      <w:r>
        <w:rPr>
          <w:rFonts w:hint="eastAsia" w:ascii="宋体" w:hAnsi="宋体"/>
          <w:color w:val="auto"/>
          <w:sz w:val="24"/>
        </w:rPr>
        <w:t>领导驾驶舱应用是校内各类核心数据指标体系的最终呈现集合，能实时反映高校的整体运行状态，将采集的数据形象化、直观化、具体化。</w:t>
      </w:r>
    </w:p>
    <w:p>
      <w:pPr>
        <w:widowControl/>
        <w:spacing w:line="360" w:lineRule="auto"/>
        <w:ind w:firstLine="480" w:firstLineChars="200"/>
        <w:rPr>
          <w:rFonts w:ascii="宋体" w:hAnsi="宋体"/>
          <w:color w:val="auto"/>
          <w:sz w:val="24"/>
        </w:rPr>
      </w:pPr>
      <w:r>
        <w:rPr>
          <w:rFonts w:hint="eastAsia" w:ascii="宋体" w:hAnsi="宋体"/>
          <w:color w:val="auto"/>
          <w:sz w:val="24"/>
        </w:rPr>
        <w:t>本次领导驾驶舱应用建设包含核心指标体系库构建、学情分析决策模块、人资分析决策模块和校情分析决策模块。为学校管理层提供的高纬度、一站式的决策支持平台。</w:t>
      </w:r>
    </w:p>
    <w:p>
      <w:pPr>
        <w:widowControl/>
        <w:spacing w:line="360" w:lineRule="auto"/>
        <w:ind w:firstLine="480" w:firstLineChars="200"/>
        <w:rPr>
          <w:rFonts w:ascii="宋体" w:hAnsi="宋体"/>
          <w:color w:val="auto"/>
          <w:sz w:val="24"/>
        </w:rPr>
      </w:pPr>
      <w:r>
        <w:rPr>
          <w:rFonts w:hint="eastAsia" w:ascii="宋体" w:hAnsi="宋体"/>
          <w:color w:val="auto"/>
          <w:sz w:val="24"/>
        </w:rPr>
        <w:t>（1）供应商需参考学科评估、深化新时代教育评价改革总体方案、大学排名、教学评估、国家审计、部门年度考核等指标文件要求，结合学校发展过程中关注的重要业务指标为核心，经过充分调研，梳理学校核心指标，并输出能反应哈尔滨工业大学整体运行状态的核心指标体系库。</w:t>
      </w:r>
    </w:p>
    <w:p>
      <w:pPr>
        <w:widowControl/>
        <w:spacing w:line="360" w:lineRule="auto"/>
        <w:ind w:firstLine="480" w:firstLineChars="200"/>
        <w:rPr>
          <w:rFonts w:ascii="宋体" w:hAnsi="宋体"/>
          <w:color w:val="auto"/>
          <w:sz w:val="24"/>
        </w:rPr>
      </w:pPr>
      <w:r>
        <w:rPr>
          <w:rFonts w:hint="eastAsia" w:ascii="宋体" w:hAnsi="宋体"/>
          <w:color w:val="auto"/>
          <w:sz w:val="24"/>
        </w:rPr>
        <w:t>（2）核心指标体系库应至少包括：学情分析指标体系、人资分析指标体系以及校情分析指标体系。</w:t>
      </w:r>
    </w:p>
    <w:p>
      <w:pPr>
        <w:widowControl/>
        <w:spacing w:line="360" w:lineRule="auto"/>
        <w:ind w:firstLine="480" w:firstLineChars="200"/>
        <w:rPr>
          <w:rFonts w:ascii="宋体" w:hAnsi="宋体"/>
          <w:color w:val="auto"/>
          <w:sz w:val="24"/>
        </w:rPr>
      </w:pPr>
      <w:r>
        <w:rPr>
          <w:rFonts w:hint="eastAsia" w:ascii="宋体" w:hAnsi="宋体"/>
          <w:color w:val="auto"/>
          <w:sz w:val="24"/>
        </w:rPr>
        <w:t>（3）供应商需基于核心指标体系库，通过大数据可视化平台构建领导驾驶舱，为领导决策提供数据支撑和辅助分析，并从纵向维度推动学校各业务系统建设和数据治理工作。</w:t>
      </w:r>
    </w:p>
    <w:p>
      <w:pPr>
        <w:spacing w:line="360" w:lineRule="auto"/>
        <w:rPr>
          <w:rFonts w:ascii="黑体" w:hAnsi="黑体" w:eastAsia="黑体" w:cs="黑体"/>
          <w:color w:val="auto"/>
          <w:sz w:val="24"/>
        </w:rPr>
      </w:pPr>
      <w:r>
        <w:rPr>
          <w:rFonts w:hint="eastAsia" w:ascii="黑体" w:hAnsi="黑体" w:eastAsia="黑体" w:cs="黑体"/>
          <w:color w:val="auto"/>
          <w:sz w:val="24"/>
        </w:rPr>
        <w:t>2.1 学情分析与决策</w:t>
      </w:r>
    </w:p>
    <w:p>
      <w:pPr>
        <w:widowControl/>
        <w:spacing w:line="360" w:lineRule="auto"/>
        <w:ind w:firstLine="480" w:firstLineChars="200"/>
        <w:rPr>
          <w:rFonts w:ascii="宋体" w:hAnsi="宋体"/>
          <w:color w:val="auto"/>
          <w:sz w:val="24"/>
        </w:rPr>
      </w:pPr>
      <w:r>
        <w:rPr>
          <w:rFonts w:hint="eastAsia" w:ascii="宋体" w:hAnsi="宋体"/>
          <w:color w:val="auto"/>
          <w:sz w:val="24"/>
        </w:rPr>
        <w:t>学情分析决策模块应用专业的学情分析模型和科学统计分析方法，可深度挖掘基础数据，从横纵多个维度对教师的教学质量、学生的学习状况进行了科学详尽的统计分析，从而可实现对学情质量及时有效的监控、诊断和反馈，具体内容包括：</w:t>
      </w:r>
    </w:p>
    <w:p>
      <w:pPr>
        <w:widowControl/>
        <w:spacing w:line="360" w:lineRule="auto"/>
        <w:ind w:firstLine="480" w:firstLineChars="200"/>
        <w:rPr>
          <w:rFonts w:ascii="宋体" w:hAnsi="宋体"/>
          <w:color w:val="auto"/>
          <w:sz w:val="24"/>
        </w:rPr>
      </w:pPr>
      <w:r>
        <w:rPr>
          <w:rFonts w:hint="eastAsia" w:ascii="宋体" w:hAnsi="宋体"/>
          <w:color w:val="auto"/>
          <w:sz w:val="24"/>
        </w:rPr>
        <w:t>（1）教学决策专题</w:t>
      </w:r>
    </w:p>
    <w:p>
      <w:pPr>
        <w:widowControl/>
        <w:spacing w:line="360" w:lineRule="auto"/>
        <w:ind w:firstLine="480" w:firstLineChars="200"/>
        <w:rPr>
          <w:rFonts w:ascii="宋体" w:hAnsi="宋体"/>
          <w:color w:val="auto"/>
          <w:sz w:val="24"/>
        </w:rPr>
      </w:pPr>
      <w:r>
        <w:rPr>
          <w:rFonts w:hint="eastAsia" w:ascii="宋体" w:hAnsi="宋体"/>
          <w:color w:val="auto"/>
          <w:sz w:val="24"/>
        </w:rPr>
        <w:t>教学决策专题包括：本、研学生概况、师资力量、课程建设与教学质量、考核方式、国际化、学生创新、教学计划、专业建设、教材建设、教改项目建设、成果建设、教师教学发展的分析。</w:t>
      </w:r>
    </w:p>
    <w:p>
      <w:pPr>
        <w:widowControl/>
        <w:spacing w:line="360" w:lineRule="auto"/>
        <w:ind w:firstLine="480" w:firstLineChars="200"/>
        <w:rPr>
          <w:rFonts w:ascii="宋体" w:hAnsi="宋体"/>
          <w:color w:val="auto"/>
          <w:sz w:val="24"/>
        </w:rPr>
      </w:pPr>
      <w:r>
        <w:rPr>
          <w:rFonts w:hint="eastAsia" w:ascii="宋体" w:hAnsi="宋体"/>
          <w:color w:val="auto"/>
          <w:sz w:val="24"/>
        </w:rPr>
        <w:t>（2）学习决策专题</w:t>
      </w:r>
    </w:p>
    <w:p>
      <w:pPr>
        <w:widowControl/>
        <w:spacing w:line="360" w:lineRule="auto"/>
        <w:ind w:firstLine="480" w:firstLineChars="200"/>
        <w:rPr>
          <w:rFonts w:ascii="宋体" w:hAnsi="宋体"/>
          <w:color w:val="auto"/>
          <w:sz w:val="24"/>
        </w:rPr>
      </w:pPr>
      <w:r>
        <w:rPr>
          <w:rFonts w:hint="eastAsia" w:ascii="宋体" w:hAnsi="宋体"/>
          <w:color w:val="auto"/>
          <w:sz w:val="24"/>
        </w:rPr>
        <w:t>学习决策专题包括：培养计划、学习兴趣、学习成绩、教学评价、课程评价的分析。</w:t>
      </w:r>
    </w:p>
    <w:p>
      <w:pPr>
        <w:spacing w:line="360" w:lineRule="auto"/>
        <w:rPr>
          <w:rFonts w:ascii="黑体" w:hAnsi="黑体" w:eastAsia="黑体" w:cs="黑体"/>
          <w:color w:val="auto"/>
          <w:sz w:val="24"/>
        </w:rPr>
      </w:pPr>
      <w:r>
        <w:rPr>
          <w:rFonts w:hint="eastAsia" w:ascii="黑体" w:hAnsi="黑体" w:eastAsia="黑体" w:cs="黑体"/>
          <w:color w:val="auto"/>
          <w:sz w:val="24"/>
        </w:rPr>
        <w:t>2.2人资分析与决策</w:t>
      </w:r>
    </w:p>
    <w:p>
      <w:pPr>
        <w:widowControl/>
        <w:spacing w:line="360" w:lineRule="auto"/>
        <w:ind w:firstLine="480" w:firstLineChars="200"/>
        <w:rPr>
          <w:rFonts w:ascii="宋体" w:hAnsi="宋体"/>
          <w:color w:val="auto"/>
          <w:sz w:val="24"/>
        </w:rPr>
      </w:pPr>
      <w:r>
        <w:rPr>
          <w:rFonts w:hint="eastAsia" w:ascii="宋体" w:hAnsi="宋体"/>
          <w:color w:val="auto"/>
          <w:sz w:val="24"/>
        </w:rPr>
        <w:t>人员结构分析：根据在校平均人数、用工结构（校内、校外）、职能结构、性别结构、年龄结构、学历结构、工龄结构、职称结构进行分析，可以根据学校整体、各个院系进行统计分析。</w:t>
      </w:r>
    </w:p>
    <w:p>
      <w:pPr>
        <w:widowControl/>
        <w:spacing w:line="360" w:lineRule="auto"/>
        <w:ind w:firstLine="480" w:firstLineChars="200"/>
        <w:rPr>
          <w:rFonts w:ascii="宋体" w:hAnsi="宋体"/>
          <w:color w:val="auto"/>
          <w:sz w:val="24"/>
        </w:rPr>
      </w:pPr>
      <w:r>
        <w:rPr>
          <w:rFonts w:hint="eastAsia" w:ascii="宋体" w:hAnsi="宋体"/>
          <w:color w:val="auto"/>
          <w:sz w:val="24"/>
        </w:rPr>
        <w:t>保持力分析包括：离职综合分析、职位变更分析、退休情况分析、合同情况分析、人员数目趋势分析。</w:t>
      </w:r>
    </w:p>
    <w:p>
      <w:pPr>
        <w:spacing w:line="360" w:lineRule="auto"/>
        <w:rPr>
          <w:rFonts w:ascii="黑体" w:hAnsi="黑体" w:eastAsia="黑体" w:cs="黑体"/>
          <w:color w:val="auto"/>
          <w:sz w:val="24"/>
        </w:rPr>
      </w:pPr>
      <w:r>
        <w:rPr>
          <w:rFonts w:hint="eastAsia" w:ascii="黑体" w:hAnsi="黑体" w:eastAsia="黑体" w:cs="黑体"/>
          <w:color w:val="auto"/>
          <w:sz w:val="24"/>
        </w:rPr>
        <w:t>2.3校情分析与决策</w:t>
      </w:r>
    </w:p>
    <w:p>
      <w:pPr>
        <w:widowControl/>
        <w:spacing w:line="360" w:lineRule="auto"/>
        <w:ind w:firstLine="480" w:firstLineChars="200"/>
        <w:rPr>
          <w:rFonts w:ascii="宋体" w:hAnsi="宋体"/>
          <w:color w:val="auto"/>
          <w:sz w:val="24"/>
        </w:rPr>
      </w:pPr>
      <w:r>
        <w:rPr>
          <w:rFonts w:hint="eastAsia" w:ascii="宋体" w:hAnsi="宋体"/>
          <w:color w:val="auto"/>
          <w:sz w:val="24"/>
        </w:rPr>
        <w:t>（1）招生专题</w:t>
      </w:r>
    </w:p>
    <w:p>
      <w:pPr>
        <w:widowControl/>
        <w:spacing w:line="360" w:lineRule="auto"/>
        <w:ind w:firstLine="480" w:firstLineChars="200"/>
        <w:rPr>
          <w:rFonts w:ascii="宋体" w:hAnsi="宋体"/>
          <w:color w:val="auto"/>
          <w:sz w:val="24"/>
        </w:rPr>
      </w:pPr>
      <w:r>
        <w:rPr>
          <w:rFonts w:hint="eastAsia" w:ascii="宋体" w:hAnsi="宋体"/>
          <w:color w:val="auto"/>
          <w:sz w:val="24"/>
        </w:rPr>
        <w:t>根据招生规模、学生地域分布、成绩分布、专业分布、就业分布等情况，结合其他学校的招生相关数据和发展态势，分析学校招生现状的综合指标。</w:t>
      </w:r>
    </w:p>
    <w:p>
      <w:pPr>
        <w:widowControl/>
        <w:spacing w:line="360" w:lineRule="auto"/>
        <w:ind w:firstLine="480" w:firstLineChars="200"/>
        <w:rPr>
          <w:rFonts w:ascii="宋体" w:hAnsi="宋体"/>
          <w:color w:val="auto"/>
          <w:sz w:val="24"/>
        </w:rPr>
      </w:pPr>
      <w:r>
        <w:rPr>
          <w:rFonts w:hint="eastAsia" w:ascii="宋体" w:hAnsi="宋体"/>
          <w:color w:val="auto"/>
          <w:sz w:val="24"/>
        </w:rPr>
        <w:t>（2）学科专题</w:t>
      </w:r>
    </w:p>
    <w:p>
      <w:pPr>
        <w:widowControl/>
        <w:spacing w:line="360" w:lineRule="auto"/>
        <w:ind w:firstLine="480" w:firstLineChars="200"/>
        <w:rPr>
          <w:rFonts w:ascii="宋体" w:hAnsi="宋体"/>
          <w:color w:val="auto"/>
          <w:sz w:val="24"/>
        </w:rPr>
      </w:pPr>
      <w:r>
        <w:rPr>
          <w:rFonts w:hint="eastAsia" w:ascii="宋体" w:hAnsi="宋体"/>
          <w:color w:val="auto"/>
          <w:sz w:val="24"/>
        </w:rPr>
        <w:t>根据学科分布、专业分布、科研项目、研究成果、学科师资、毕业生、在校学生等情况，结合国内外其它高校的学科发展情况和竞争情况，分析学校学科现状的综合指标。</w:t>
      </w:r>
    </w:p>
    <w:p>
      <w:pPr>
        <w:widowControl/>
        <w:spacing w:line="360" w:lineRule="auto"/>
        <w:ind w:firstLine="480" w:firstLineChars="200"/>
        <w:rPr>
          <w:rFonts w:ascii="宋体" w:hAnsi="宋体"/>
          <w:color w:val="auto"/>
          <w:sz w:val="24"/>
        </w:rPr>
      </w:pPr>
      <w:r>
        <w:rPr>
          <w:rFonts w:hint="eastAsia" w:ascii="宋体" w:hAnsi="宋体"/>
          <w:color w:val="auto"/>
          <w:sz w:val="24"/>
        </w:rPr>
        <w:t>（3）财务资产专题</w:t>
      </w:r>
    </w:p>
    <w:p>
      <w:pPr>
        <w:widowControl/>
        <w:spacing w:line="360" w:lineRule="auto"/>
        <w:ind w:firstLine="480" w:firstLineChars="200"/>
        <w:rPr>
          <w:rFonts w:ascii="宋体" w:hAnsi="宋体"/>
          <w:color w:val="auto"/>
          <w:sz w:val="24"/>
        </w:rPr>
      </w:pPr>
      <w:r>
        <w:rPr>
          <w:rFonts w:hint="eastAsia" w:ascii="宋体" w:hAnsi="宋体"/>
          <w:color w:val="auto"/>
          <w:sz w:val="24"/>
        </w:rPr>
        <w:t>财务资产专题包括：财务收入、财务支出、财政预算总体执行情况、财政预算按部门执行情况、校内预算收入情况、校内预算支出情况、学费收缴情况的分析。</w:t>
      </w:r>
    </w:p>
    <w:p>
      <w:pPr>
        <w:widowControl/>
        <w:spacing w:line="360" w:lineRule="auto"/>
        <w:ind w:firstLine="480" w:firstLineChars="200"/>
        <w:rPr>
          <w:rFonts w:ascii="宋体" w:hAnsi="宋体"/>
          <w:color w:val="auto"/>
          <w:sz w:val="24"/>
        </w:rPr>
      </w:pPr>
      <w:r>
        <w:rPr>
          <w:rFonts w:hint="eastAsia" w:ascii="宋体" w:hAnsi="宋体"/>
          <w:color w:val="auto"/>
          <w:sz w:val="24"/>
        </w:rPr>
        <w:t>（4）科学研究专题</w:t>
      </w:r>
    </w:p>
    <w:p>
      <w:pPr>
        <w:widowControl/>
        <w:spacing w:line="360" w:lineRule="auto"/>
        <w:ind w:firstLine="480" w:firstLineChars="200"/>
        <w:rPr>
          <w:rFonts w:ascii="宋体" w:hAnsi="宋体"/>
          <w:color w:val="auto"/>
          <w:sz w:val="24"/>
        </w:rPr>
      </w:pPr>
      <w:r>
        <w:rPr>
          <w:rFonts w:hint="eastAsia" w:ascii="宋体" w:hAnsi="宋体"/>
          <w:color w:val="auto"/>
          <w:sz w:val="24"/>
        </w:rPr>
        <w:t>科研研究专题包括：科研平台、科研人才、科研项目、科研经费、科研成果、科研成果获奖的分析。</w:t>
      </w:r>
    </w:p>
    <w:p>
      <w:pPr>
        <w:widowControl/>
        <w:spacing w:line="360" w:lineRule="auto"/>
        <w:ind w:firstLine="480" w:firstLineChars="200"/>
        <w:rPr>
          <w:rFonts w:ascii="宋体" w:hAnsi="宋体"/>
          <w:color w:val="auto"/>
          <w:sz w:val="24"/>
        </w:rPr>
      </w:pPr>
      <w:r>
        <w:rPr>
          <w:rFonts w:hint="eastAsia" w:ascii="宋体" w:hAnsi="宋体"/>
          <w:color w:val="auto"/>
          <w:sz w:val="24"/>
        </w:rPr>
        <w:t>（5）学生专题</w:t>
      </w:r>
    </w:p>
    <w:p>
      <w:pPr>
        <w:widowControl/>
        <w:spacing w:line="360" w:lineRule="auto"/>
        <w:ind w:firstLine="480" w:firstLineChars="200"/>
        <w:rPr>
          <w:rFonts w:ascii="宋体" w:hAnsi="宋体"/>
          <w:color w:val="auto"/>
          <w:sz w:val="24"/>
        </w:rPr>
      </w:pPr>
      <w:r>
        <w:rPr>
          <w:rFonts w:hint="eastAsia" w:ascii="宋体" w:hAnsi="宋体"/>
          <w:color w:val="auto"/>
          <w:sz w:val="24"/>
        </w:rPr>
        <w:t>学生专题包括:学生思政教育、奖助学金获取情况、学生违纪情况、学生资助情况、学生就业情况、创新创业情况、学情预警情况的分析。</w:t>
      </w:r>
    </w:p>
    <w:p>
      <w:pPr>
        <w:widowControl/>
        <w:spacing w:line="360" w:lineRule="auto"/>
        <w:ind w:firstLine="480" w:firstLineChars="200"/>
        <w:rPr>
          <w:rFonts w:ascii="宋体" w:hAnsi="宋体"/>
          <w:color w:val="auto"/>
          <w:sz w:val="24"/>
        </w:rPr>
      </w:pPr>
      <w:r>
        <w:rPr>
          <w:rFonts w:hint="eastAsia" w:ascii="宋体" w:hAnsi="宋体"/>
          <w:color w:val="auto"/>
          <w:sz w:val="24"/>
        </w:rPr>
        <w:t>（6）信息化专题</w:t>
      </w:r>
    </w:p>
    <w:p>
      <w:pPr>
        <w:widowControl/>
        <w:spacing w:line="360" w:lineRule="auto"/>
        <w:ind w:firstLine="480" w:firstLineChars="200"/>
        <w:rPr>
          <w:rFonts w:ascii="宋体" w:hAnsi="宋体"/>
          <w:color w:val="auto"/>
          <w:sz w:val="24"/>
        </w:rPr>
      </w:pPr>
      <w:r>
        <w:rPr>
          <w:rFonts w:hint="eastAsia" w:ascii="宋体" w:hAnsi="宋体"/>
          <w:color w:val="auto"/>
          <w:sz w:val="24"/>
        </w:rPr>
        <w:t>信息化专题包括：软件信息化服务、信息化项目建设情况、网络资源服务、数据中心资源情况、网络安全建设情况的分析。</w:t>
      </w:r>
    </w:p>
    <w:p>
      <w:pPr>
        <w:widowControl/>
        <w:spacing w:line="360" w:lineRule="auto"/>
        <w:ind w:firstLine="480" w:firstLineChars="200"/>
        <w:rPr>
          <w:rFonts w:ascii="宋体" w:hAnsi="宋体"/>
          <w:color w:val="auto"/>
          <w:sz w:val="24"/>
        </w:rPr>
      </w:pPr>
      <w:r>
        <w:rPr>
          <w:rFonts w:hint="eastAsia" w:ascii="宋体" w:hAnsi="宋体"/>
          <w:color w:val="auto"/>
          <w:sz w:val="24"/>
        </w:rPr>
        <w:t>（7）组织专题</w:t>
      </w:r>
    </w:p>
    <w:p>
      <w:pPr>
        <w:widowControl/>
        <w:spacing w:line="360" w:lineRule="auto"/>
        <w:ind w:firstLine="480" w:firstLineChars="200"/>
        <w:rPr>
          <w:rFonts w:ascii="宋体" w:hAnsi="宋体"/>
          <w:color w:val="auto"/>
          <w:sz w:val="24"/>
        </w:rPr>
      </w:pPr>
      <w:r>
        <w:rPr>
          <w:rFonts w:hint="eastAsia" w:ascii="宋体" w:hAnsi="宋体"/>
          <w:color w:val="auto"/>
          <w:sz w:val="24"/>
        </w:rPr>
        <w:t>组织专题包括：基层党组织建设、党员发展情况、中层领导人队伍建设情况、中层领导人队伍监督情况、干部教育培训情况的分析。</w:t>
      </w:r>
    </w:p>
    <w:p>
      <w:pPr>
        <w:spacing w:line="360" w:lineRule="auto"/>
        <w:rPr>
          <w:rFonts w:ascii="黑体" w:hAnsi="黑体" w:eastAsia="黑体" w:cs="黑体"/>
          <w:color w:val="auto"/>
          <w:sz w:val="24"/>
        </w:rPr>
      </w:pPr>
      <w:r>
        <w:rPr>
          <w:rFonts w:hint="eastAsia" w:ascii="黑体" w:hAnsi="黑体" w:eastAsia="黑体" w:cs="黑体"/>
          <w:color w:val="auto"/>
          <w:sz w:val="24"/>
        </w:rPr>
        <w:t>2.4疫情防控防控监测与管理</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w:t>
      </w:r>
      <w:r>
        <w:rPr>
          <w:rFonts w:ascii="宋体" w:hAnsi="宋体"/>
          <w:color w:val="auto"/>
          <w:sz w:val="24"/>
        </w:rPr>
        <w:t>疫情防控权限</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按照组织机构或者自定义授权规则进行数据的灵活授权，实现针对不同数据的底层权限拆分配置。</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（2）人员/车辆进去校园监测与管理专题</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包含校本部各门岗人员(车辆)进出校园数据大屏、车辆进出校园详情、人员进出校园详情、人员进出校园统计几个模块。</w:t>
      </w:r>
    </w:p>
    <w:p>
      <w:pPr>
        <w:widowControl/>
        <w:spacing w:line="360" w:lineRule="auto"/>
        <w:ind w:firstLine="480" w:firstLineChars="200"/>
        <w:jc w:val="left"/>
        <w:rPr>
          <w:rFonts w:ascii="宋体" w:hAnsi="宋体"/>
          <w:color w:val="auto"/>
          <w:sz w:val="24"/>
        </w:rPr>
      </w:pPr>
      <w:r>
        <w:rPr>
          <w:rFonts w:ascii="宋体" w:hAnsi="宋体"/>
          <w:color w:val="auto"/>
          <w:sz w:val="24"/>
        </w:rPr>
        <w:t>人员</w:t>
      </w:r>
      <w:r>
        <w:rPr>
          <w:rFonts w:hint="eastAsia" w:ascii="宋体" w:hAnsi="宋体"/>
          <w:color w:val="auto"/>
          <w:sz w:val="24"/>
        </w:rPr>
        <w:t>（车辆）进出校园数据大屏：人员（车辆）今日进出校统计，人员（车辆）实时进出情况监控，当日人员（车辆）进出次数top排行、各门岗人员（车辆）进出统计，当日人员（车辆）进出趋势图</w:t>
      </w:r>
    </w:p>
    <w:p>
      <w:pPr>
        <w:widowControl/>
        <w:spacing w:line="360" w:lineRule="auto"/>
        <w:ind w:firstLine="480" w:firstLineChars="200"/>
        <w:jc w:val="left"/>
        <w:rPr>
          <w:rFonts w:ascii="宋体" w:hAnsi="宋体"/>
          <w:color w:val="auto"/>
          <w:sz w:val="24"/>
        </w:rPr>
      </w:pPr>
      <w:r>
        <w:rPr>
          <w:rFonts w:ascii="宋体" w:hAnsi="宋体"/>
          <w:color w:val="auto"/>
          <w:sz w:val="24"/>
        </w:rPr>
        <w:t>人员</w:t>
      </w:r>
      <w:r>
        <w:rPr>
          <w:rFonts w:hint="eastAsia" w:ascii="宋体" w:hAnsi="宋体"/>
          <w:color w:val="auto"/>
          <w:sz w:val="24"/>
        </w:rPr>
        <w:t>（车辆）</w:t>
      </w:r>
      <w:r>
        <w:rPr>
          <w:rFonts w:ascii="宋体" w:hAnsi="宋体"/>
          <w:color w:val="auto"/>
          <w:sz w:val="24"/>
        </w:rPr>
        <w:t>进出校园详情</w:t>
      </w:r>
      <w:r>
        <w:rPr>
          <w:rFonts w:hint="eastAsia" w:ascii="宋体" w:hAnsi="宋体"/>
          <w:color w:val="auto"/>
          <w:sz w:val="24"/>
        </w:rPr>
        <w:t>：支持自然语言模糊查询</w:t>
      </w:r>
      <w:r>
        <w:rPr>
          <w:rFonts w:ascii="宋体" w:hAnsi="宋体"/>
          <w:color w:val="auto"/>
          <w:sz w:val="24"/>
        </w:rPr>
        <w:t>人员</w:t>
      </w:r>
      <w:r>
        <w:rPr>
          <w:rFonts w:hint="eastAsia" w:ascii="宋体" w:hAnsi="宋体"/>
          <w:color w:val="auto"/>
          <w:sz w:val="24"/>
        </w:rPr>
        <w:t>（车辆）进出详细信息，包含学工编号（车牌号）、门岗、时间、联系方式等。</w:t>
      </w:r>
    </w:p>
    <w:p>
      <w:pPr>
        <w:widowControl/>
        <w:spacing w:line="360" w:lineRule="auto"/>
        <w:ind w:firstLine="480" w:firstLineChars="200"/>
        <w:rPr>
          <w:rFonts w:ascii="宋体" w:hAnsi="宋体"/>
          <w:color w:val="auto"/>
          <w:sz w:val="24"/>
        </w:rPr>
      </w:pPr>
      <w:r>
        <w:rPr>
          <w:rFonts w:hint="eastAsia" w:ascii="宋体" w:hAnsi="宋体"/>
          <w:color w:val="auto"/>
          <w:sz w:val="24"/>
        </w:rPr>
        <w:t>人员进出校园统计报表，按照日期统计各类型人员进出校园情况。</w:t>
      </w:r>
    </w:p>
    <w:p>
      <w:pPr>
        <w:widowControl/>
        <w:spacing w:line="360" w:lineRule="auto"/>
        <w:ind w:firstLine="480" w:firstLineChars="200"/>
        <w:rPr>
          <w:rFonts w:ascii="宋体" w:hAnsi="宋体"/>
          <w:color w:val="auto"/>
          <w:sz w:val="24"/>
        </w:rPr>
      </w:pPr>
      <w:r>
        <w:rPr>
          <w:rFonts w:hint="eastAsia" w:ascii="宋体" w:hAnsi="宋体"/>
          <w:color w:val="auto"/>
          <w:sz w:val="24"/>
        </w:rPr>
        <w:t>（3）教职工疫情防控检测与预警专题</w:t>
      </w:r>
    </w:p>
    <w:p>
      <w:pPr>
        <w:widowControl/>
        <w:spacing w:line="360" w:lineRule="auto"/>
        <w:ind w:firstLine="480" w:firstLineChars="200"/>
        <w:rPr>
          <w:rFonts w:ascii="宋体" w:hAnsi="宋体"/>
          <w:color w:val="auto"/>
          <w:sz w:val="24"/>
        </w:rPr>
      </w:pPr>
      <w:r>
        <w:rPr>
          <w:rFonts w:hint="eastAsia" w:ascii="宋体" w:hAnsi="宋体"/>
          <w:color w:val="auto"/>
          <w:sz w:val="24"/>
        </w:rPr>
        <w:t>包含校本部教职工疫情防控数据大屏、教室疫情填报详情、教室审批入校详情、外协审批入校详情等模块。</w:t>
      </w:r>
    </w:p>
    <w:p>
      <w:pPr>
        <w:widowControl/>
        <w:spacing w:line="360" w:lineRule="auto"/>
        <w:ind w:firstLine="480" w:firstLineChars="200"/>
        <w:rPr>
          <w:rFonts w:ascii="宋体" w:hAnsi="宋体"/>
          <w:color w:val="auto"/>
          <w:sz w:val="24"/>
        </w:rPr>
      </w:pPr>
      <w:r>
        <w:rPr>
          <w:rFonts w:hint="eastAsia" w:ascii="宋体" w:hAnsi="宋体"/>
          <w:color w:val="auto"/>
          <w:sz w:val="24"/>
        </w:rPr>
        <w:t>教职工疫情防控检测与预警大屏：实时统计与展现当日应填报总数、今日已填报、当前未填报、当前填报率、现有确诊、现有无症状、现有发热、现有隔离、居家隔离、集中隔离、所在中高风险地区人数、今日计划到校人数、今日境外人数、今日审批教工入校人数、今日审批外协入校人数，当前各单位填报率排行，按照GIS地图的形式展示目前教工在各省分布情况，教工异常情况预警包含预警总数、已处理、未处理等，当日按照时间维度统计填报情况分析。支持从大屏中已填报、未填报、分布情况、填报率等内容进行数据下钻到详情。</w:t>
      </w:r>
    </w:p>
    <w:p>
      <w:pPr>
        <w:widowControl/>
        <w:spacing w:line="360" w:lineRule="auto"/>
        <w:ind w:firstLine="480" w:firstLineChars="200"/>
        <w:rPr>
          <w:rFonts w:ascii="宋体" w:hAnsi="宋体"/>
          <w:color w:val="auto"/>
          <w:sz w:val="24"/>
        </w:rPr>
      </w:pPr>
      <w:r>
        <w:rPr>
          <w:rFonts w:ascii="宋体" w:hAnsi="宋体"/>
          <w:color w:val="auto"/>
          <w:sz w:val="24"/>
        </w:rPr>
        <w:t>教师疫情填报详情</w:t>
      </w:r>
      <w:r>
        <w:rPr>
          <w:rFonts w:hint="eastAsia" w:ascii="宋体" w:hAnsi="宋体"/>
          <w:color w:val="auto"/>
          <w:sz w:val="24"/>
        </w:rPr>
        <w:t>：支持自然语言模糊查询应填报部门、职工号、性别、所在省市区、填报时间、健康状态、联系电话等。</w:t>
      </w:r>
    </w:p>
    <w:p>
      <w:pPr>
        <w:widowControl/>
        <w:spacing w:line="360" w:lineRule="auto"/>
        <w:ind w:firstLine="480" w:firstLineChars="200"/>
        <w:rPr>
          <w:rFonts w:ascii="宋体" w:hAnsi="宋体"/>
          <w:color w:val="auto"/>
          <w:sz w:val="24"/>
        </w:rPr>
      </w:pPr>
      <w:r>
        <w:rPr>
          <w:rFonts w:hint="eastAsia" w:ascii="宋体" w:hAnsi="宋体"/>
          <w:color w:val="auto"/>
          <w:sz w:val="24"/>
        </w:rPr>
        <w:t>教师审批入校详情：支持自然语言模糊查询单位、姓名、职工号、性别、联系电话等。</w:t>
      </w:r>
    </w:p>
    <w:p>
      <w:pPr>
        <w:widowControl/>
        <w:spacing w:line="360" w:lineRule="auto"/>
        <w:ind w:firstLine="480" w:firstLineChars="200"/>
        <w:rPr>
          <w:rFonts w:ascii="宋体" w:hAnsi="宋体"/>
          <w:color w:val="auto"/>
          <w:sz w:val="24"/>
        </w:rPr>
      </w:pPr>
      <w:r>
        <w:rPr>
          <w:rFonts w:hint="eastAsia" w:ascii="宋体" w:hAnsi="宋体"/>
          <w:color w:val="auto"/>
          <w:sz w:val="24"/>
        </w:rPr>
        <w:t>外协审批入校详情：支持自然语言模糊查询证件号、姓名、审批单位、审批人、联系电话等。</w:t>
      </w:r>
    </w:p>
    <w:p>
      <w:pPr>
        <w:widowControl/>
        <w:spacing w:line="360" w:lineRule="auto"/>
        <w:ind w:firstLine="480" w:firstLineChars="200"/>
        <w:rPr>
          <w:rFonts w:ascii="宋体" w:hAnsi="宋体"/>
          <w:color w:val="auto"/>
          <w:sz w:val="24"/>
        </w:rPr>
      </w:pPr>
      <w:r>
        <w:rPr>
          <w:rFonts w:hint="eastAsia" w:ascii="宋体" w:hAnsi="宋体"/>
          <w:color w:val="auto"/>
          <w:sz w:val="24"/>
        </w:rPr>
        <w:t>（4）学生疫情防控检测与预警专题</w:t>
      </w:r>
    </w:p>
    <w:p>
      <w:pPr>
        <w:widowControl/>
        <w:spacing w:line="360" w:lineRule="auto"/>
        <w:ind w:firstLine="480" w:firstLineChars="200"/>
        <w:rPr>
          <w:rFonts w:ascii="宋体" w:hAnsi="宋体"/>
          <w:color w:val="auto"/>
          <w:sz w:val="24"/>
        </w:rPr>
      </w:pPr>
      <w:r>
        <w:rPr>
          <w:rFonts w:hint="eastAsia" w:ascii="宋体" w:hAnsi="宋体"/>
          <w:color w:val="auto"/>
          <w:sz w:val="24"/>
        </w:rPr>
        <w:t>包含校本部学生疫情防控检测与预警数据大屏、学生每日填报详情、学生当日出入校申请详情、学生当日留校详情、学生系统状态异常预警详情等模块。</w:t>
      </w:r>
    </w:p>
    <w:p>
      <w:pPr>
        <w:widowControl/>
        <w:spacing w:line="360" w:lineRule="auto"/>
        <w:ind w:firstLine="480" w:firstLineChars="200"/>
        <w:rPr>
          <w:rFonts w:ascii="宋体" w:hAnsi="宋体"/>
          <w:color w:val="auto"/>
          <w:sz w:val="24"/>
        </w:rPr>
      </w:pPr>
      <w:r>
        <w:rPr>
          <w:rFonts w:hint="eastAsia" w:ascii="宋体" w:hAnsi="宋体"/>
          <w:color w:val="auto"/>
          <w:sz w:val="24"/>
        </w:rPr>
        <w:t>学生疫情防控检测与预警大屏：实时统计与展现当日应填报总数、今日已填报、当前未填报、当前填报率、现有确诊、现有无症状、现有发热、现有隔离、居家隔离、集中隔离、所在中高风险地区人数、今日在校人数、今日离校人数、今日临时出校人数、今日走读入校人数，当前各学院填报率排行，按照GIS地图的形式展示学生在各省分布情况，异常情况预警包含当日新增预警、当日已处理、全部未处理等，当日按照时间维度统计填报情况分析。支持从大屏中已填报、未填报、分布情况、填报率等内容进行数据下钻到详情。</w:t>
      </w:r>
    </w:p>
    <w:p>
      <w:pPr>
        <w:widowControl/>
        <w:spacing w:line="360" w:lineRule="auto"/>
        <w:ind w:firstLine="480" w:firstLineChars="200"/>
        <w:rPr>
          <w:rFonts w:ascii="宋体" w:hAnsi="宋体"/>
          <w:color w:val="auto"/>
          <w:sz w:val="24"/>
        </w:rPr>
      </w:pPr>
      <w:r>
        <w:rPr>
          <w:rFonts w:hint="eastAsia" w:ascii="宋体" w:hAnsi="宋体"/>
          <w:color w:val="auto"/>
          <w:sz w:val="24"/>
        </w:rPr>
        <w:t>学生每日上报详情：支持自然语言模糊查询学院、学号、姓名、学生类别、年级、所在地、是否确诊、是否无症状、是否发热等。</w:t>
      </w:r>
    </w:p>
    <w:p>
      <w:pPr>
        <w:widowControl/>
        <w:spacing w:line="360" w:lineRule="auto"/>
        <w:ind w:firstLine="480" w:firstLineChars="200"/>
        <w:rPr>
          <w:rFonts w:ascii="宋体" w:hAnsi="宋体"/>
          <w:color w:val="auto"/>
          <w:sz w:val="24"/>
        </w:rPr>
      </w:pPr>
      <w:r>
        <w:rPr>
          <w:rFonts w:hint="eastAsia" w:ascii="宋体" w:hAnsi="宋体"/>
          <w:color w:val="auto"/>
          <w:sz w:val="24"/>
        </w:rPr>
        <w:t>学生当日出入校申请详情：支持自然语言模糊查询学院、学号、姓名、学生类别、年级、出入校类型等。</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学生当日留校详情：支持自然语言模糊查询学院、学号、姓名、学生类别、年级、预计离校时间等。</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学生疫情异常预警详情：支持自然语言模糊查询学院、学号、姓名、学生类别、年级、预警类型、是否处理等。</w:t>
      </w:r>
    </w:p>
    <w:p>
      <w:pPr>
        <w:spacing w:line="360" w:lineRule="auto"/>
        <w:rPr>
          <w:rFonts w:ascii="黑体" w:hAnsi="黑体" w:eastAsia="黑体" w:cs="黑体"/>
          <w:color w:val="auto"/>
          <w:sz w:val="24"/>
          <w:highlight w:val="none"/>
        </w:rPr>
      </w:pPr>
      <w:r>
        <w:rPr>
          <w:rFonts w:hint="eastAsia" w:ascii="黑体" w:hAnsi="黑体" w:eastAsia="黑体" w:cs="黑体"/>
          <w:color w:val="auto"/>
          <w:sz w:val="24"/>
          <w:highlight w:val="none"/>
        </w:rPr>
        <w:t>2.5其它要求</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（1）供应商针对领导驾驶舱的UI页面展示效果需根据学校实际需求进行定制化开发。</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（2）领导驾驶舱的权限体系需支持多级授权，支持不同领导所查看的数据权限范围灵活配置。</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（3）领导驾驶舱中展现的指标支持灵活调整与配置。</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（4）领导驾驶舱需要提供移动版，移动版内容与Web端保持一致。同时移动版需要与</w:t>
      </w:r>
      <w:r>
        <w:rPr>
          <w:rFonts w:ascii="宋体" w:hAnsi="宋体"/>
          <w:color w:val="auto"/>
          <w:sz w:val="24"/>
          <w:highlight w:val="none"/>
        </w:rPr>
        <w:t>学校已建成的</w:t>
      </w:r>
      <w:r>
        <w:rPr>
          <w:rFonts w:hint="eastAsia" w:ascii="宋体" w:hAnsi="宋体"/>
          <w:color w:val="auto"/>
          <w:sz w:val="24"/>
          <w:highlight w:val="none"/>
        </w:rPr>
        <w:t>WeLink等移动App完成身份与应用的</w:t>
      </w:r>
      <w:r>
        <w:rPr>
          <w:rFonts w:ascii="宋体" w:hAnsi="宋体"/>
          <w:color w:val="auto"/>
          <w:sz w:val="24"/>
          <w:highlight w:val="none"/>
        </w:rPr>
        <w:t>集成</w:t>
      </w:r>
      <w:r>
        <w:rPr>
          <w:rFonts w:hint="eastAsia" w:ascii="宋体" w:hAnsi="宋体"/>
          <w:color w:val="auto"/>
          <w:sz w:val="24"/>
          <w:highlight w:val="none"/>
        </w:rPr>
        <w:t xml:space="preserve">。  </w:t>
      </w:r>
    </w:p>
    <w:p>
      <w:pPr>
        <w:pStyle w:val="2"/>
        <w:spacing w:line="360" w:lineRule="auto"/>
        <w:ind w:firstLine="240"/>
        <w:jc w:val="left"/>
        <w:rPr>
          <w:rFonts w:ascii="宋体" w:hAnsi="宋体"/>
          <w:color w:val="auto"/>
          <w:highlight w:val="none"/>
        </w:rPr>
      </w:pPr>
      <w:r>
        <w:rPr>
          <w:rFonts w:hint="eastAsia" w:ascii="宋体" w:hAnsi="宋体"/>
          <w:color w:val="auto"/>
          <w:highlight w:val="none"/>
        </w:rPr>
        <w:t xml:space="preserve">  ★大数据可视化平台和领导驾驶舱应用的全部建设内容在校本部完成交付之后，还需向哈尔滨工业大学（威海）校区、哈尔滨工业大学（深圳）校区分别进行推广。</w:t>
      </w:r>
    </w:p>
    <w:p>
      <w:pPr>
        <w:spacing w:line="360" w:lineRule="auto"/>
        <w:ind w:firstLine="482" w:firstLineChars="200"/>
        <w:jc w:val="left"/>
        <w:rPr>
          <w:b/>
          <w:bCs/>
          <w:color w:val="auto"/>
          <w:highlight w:val="none"/>
        </w:rPr>
      </w:pPr>
      <w:r>
        <w:rPr>
          <w:rFonts w:hint="eastAsia"/>
          <w:b/>
          <w:bCs/>
          <w:color w:val="auto"/>
          <w:sz w:val="24"/>
          <w:highlight w:val="none"/>
        </w:rPr>
        <w:t>所有投标人均须针对该需求做出应答。</w:t>
      </w:r>
    </w:p>
    <w:p>
      <w:pPr>
        <w:pStyle w:val="5"/>
        <w:spacing w:line="360" w:lineRule="auto"/>
        <w:rPr>
          <w:color w:val="auto"/>
          <w:sz w:val="24"/>
          <w:szCs w:val="24"/>
          <w:highlight w:val="none"/>
        </w:rPr>
      </w:pPr>
      <w:bookmarkStart w:id="11" w:name="_Toc13033"/>
      <w:r>
        <w:rPr>
          <w:rFonts w:hint="eastAsia"/>
          <w:color w:val="auto"/>
          <w:sz w:val="24"/>
          <w:szCs w:val="24"/>
          <w:highlight w:val="none"/>
        </w:rPr>
        <w:t>三、项目技术要求</w:t>
      </w:r>
      <w:bookmarkEnd w:id="7"/>
      <w:bookmarkEnd w:id="8"/>
      <w:bookmarkEnd w:id="11"/>
    </w:p>
    <w:p>
      <w:pPr>
        <w:pStyle w:val="6"/>
        <w:rPr>
          <w:color w:val="auto"/>
          <w:sz w:val="24"/>
          <w:szCs w:val="24"/>
          <w:highlight w:val="none"/>
          <w:lang w:val="sq-AL"/>
        </w:rPr>
      </w:pPr>
      <w:bookmarkStart w:id="12" w:name="_Toc27663"/>
      <w:r>
        <w:rPr>
          <w:rFonts w:hint="eastAsia"/>
          <w:color w:val="auto"/>
          <w:sz w:val="24"/>
          <w:szCs w:val="24"/>
          <w:highlight w:val="none"/>
          <w:lang w:val="sq-AL"/>
        </w:rPr>
        <w:t>1、总体要求</w:t>
      </w:r>
      <w:bookmarkEnd w:id="12"/>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（1）开放性和可扩展性</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要求系统的组件具备优秀的开放性，同时遵循业界相关的统一标准，支持各类操作系统、软件环境、数据库体系和中间件等；能通过开发接口进行信息的输入、输出，与第三方应用或系统进行通信，实现信息开放。在宏观层面为多类系统协同运行提供支撑。</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系统需具备良好的可扩展性和可伸缩性，以保证各类外部和内部原因驱动的业务系统自身的不断调整、修改和优化工作，并保证系统本身的正确运行。</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要求支持标准的基于平台的二次开发接口，通过成熟的二次开发语言能够快速实现功能的增强和扩展。</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（2）系统自身的稳定性</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要求系统必须稳定，并能充分利用单位资源的服务能力，对单点失效有成熟的容错能力，且不因系统复杂度的增加影响系统自身稳定性。</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要求对系统资源进行合理利用，避免过度占用，并在需要时主动释放资源以保证底层环境的最大稳定。</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（3）易用性和灵活性</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用户页面和后台系统页面均提供直观、易用和丰富的图形化使用界面，始终保证操作方式的一致性，保证系统交互符合用户常识和预期，从而保证其对系统的高效使用。为增加系统灵活性，系统要具有很好的配置性，通过灵活配置，方便系统的前后台功能展示。</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 xml:space="preserve">（4）系统实施要求 </w:t>
      </w:r>
    </w:p>
    <w:p>
      <w:pPr>
        <w:pStyle w:val="20"/>
        <w:adjustRightInd w:val="0"/>
        <w:snapToGrid w:val="0"/>
        <w:spacing w:before="40" w:after="40"/>
        <w:rPr>
          <w:rFonts w:ascii="宋体" w:hAnsi="宋体" w:cs="宋体"/>
          <w:color w:val="auto"/>
          <w:szCs w:val="24"/>
          <w:highlight w:val="none"/>
        </w:rPr>
      </w:pPr>
      <w:r>
        <w:rPr>
          <w:rFonts w:hint="eastAsia" w:ascii="宋体" w:hAnsi="宋体" w:cs="宋体"/>
          <w:color w:val="auto"/>
          <w:szCs w:val="24"/>
          <w:highlight w:val="none"/>
        </w:rPr>
        <w:t>1）供应商须严格遵守软件系统工程管理要求进行系统的开发、安装、调试、培训及售后服务等工作，并按要求提供系统相关文档，包含但不限于需求说明书、系统详细设计报告、数据库设计说明书、用户手册、系统管理员手册、系统验收报告、系统试运行报告、系统部署方案等。</w:t>
      </w:r>
    </w:p>
    <w:p>
      <w:pPr>
        <w:pStyle w:val="20"/>
        <w:adjustRightInd w:val="0"/>
        <w:snapToGrid w:val="0"/>
        <w:spacing w:before="40" w:after="40"/>
        <w:rPr>
          <w:rFonts w:ascii="宋体" w:hAnsi="宋体" w:cs="宋体"/>
          <w:color w:val="auto"/>
          <w:szCs w:val="24"/>
          <w:highlight w:val="none"/>
        </w:rPr>
      </w:pPr>
      <w:r>
        <w:rPr>
          <w:rFonts w:hint="eastAsia" w:ascii="宋体" w:hAnsi="宋体" w:cs="宋体"/>
          <w:color w:val="auto"/>
          <w:szCs w:val="24"/>
          <w:highlight w:val="none"/>
        </w:rPr>
        <w:t>2）供应商设计的软件系统涉及到的公共数据部分应以采购人的信息标准规范为准，未在采购方信息标准规范中界定的数据，应符合相应的国家标准和行业标准，个性化部分应符合采购方业务发展需要，并协助业务方将其制定为内部信息标准规范。</w:t>
      </w:r>
    </w:p>
    <w:p>
      <w:pPr>
        <w:pStyle w:val="20"/>
        <w:adjustRightInd w:val="0"/>
        <w:snapToGrid w:val="0"/>
        <w:spacing w:before="40" w:after="40"/>
        <w:rPr>
          <w:rFonts w:ascii="宋体" w:hAnsi="宋体" w:cs="宋体"/>
          <w:color w:val="auto"/>
          <w:szCs w:val="24"/>
          <w:highlight w:val="none"/>
        </w:rPr>
      </w:pPr>
      <w:r>
        <w:rPr>
          <w:rFonts w:hint="eastAsia" w:ascii="宋体" w:hAnsi="宋体" w:cs="宋体"/>
          <w:color w:val="auto"/>
          <w:szCs w:val="24"/>
          <w:highlight w:val="none"/>
        </w:rPr>
        <w:t>3）数据系统日志管理规范上要在本次数据标准的建设中形成规范制度，提出管理、安全和技术要求，日志类型上要包含操作日志、数据日志，日志的包含要素、归档要求等都要规范化。未来数据治理项目中在数据中台中也将包含日志的归档。</w:t>
      </w:r>
    </w:p>
    <w:p>
      <w:pPr>
        <w:spacing w:line="360" w:lineRule="auto"/>
        <w:ind w:firstLine="482" w:firstLineChars="200"/>
        <w:rPr>
          <w:b/>
          <w:bCs/>
          <w:color w:val="auto"/>
          <w:highlight w:val="none"/>
        </w:rPr>
      </w:pPr>
      <w:r>
        <w:rPr>
          <w:rFonts w:hint="eastAsia"/>
          <w:b/>
          <w:bCs/>
          <w:color w:val="auto"/>
          <w:sz w:val="24"/>
          <w:highlight w:val="none"/>
        </w:rPr>
        <w:t>所有投标人均须完全遵守项目项目总体要求，并明确应答方案。</w:t>
      </w:r>
    </w:p>
    <w:p>
      <w:pPr>
        <w:pStyle w:val="6"/>
        <w:rPr>
          <w:color w:val="auto"/>
          <w:sz w:val="24"/>
          <w:szCs w:val="24"/>
          <w:highlight w:val="none"/>
          <w:lang w:val="sq-AL"/>
        </w:rPr>
      </w:pPr>
      <w:bookmarkStart w:id="13" w:name="_Toc327"/>
      <w:r>
        <w:rPr>
          <w:rFonts w:hint="eastAsia"/>
          <w:color w:val="auto"/>
          <w:sz w:val="24"/>
          <w:szCs w:val="24"/>
          <w:highlight w:val="none"/>
          <w:lang w:val="sq-AL"/>
        </w:rPr>
        <w:t>2、关键技术指标</w:t>
      </w:r>
      <w:bookmarkEnd w:id="13"/>
    </w:p>
    <w:p>
      <w:pPr>
        <w:numPr>
          <w:ilvl w:val="0"/>
          <w:numId w:val="3"/>
        </w:num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系统绝对并发200用户，打开页面平均响应时间1秒以内，在2000W条数据条件下进行查询，平均响应时间为1秒以内。</w:t>
      </w:r>
    </w:p>
    <w:p>
      <w:pPr>
        <w:pStyle w:val="2"/>
        <w:spacing w:line="360" w:lineRule="auto"/>
        <w:ind w:firstLine="480" w:firstLineChars="200"/>
        <w:jc w:val="left"/>
        <w:rPr>
          <w:color w:val="auto"/>
          <w:highlight w:val="none"/>
        </w:rPr>
      </w:pPr>
      <w:r>
        <w:rPr>
          <w:rFonts w:hint="eastAsia" w:ascii="宋体" w:hAnsi="宋体"/>
          <w:color w:val="auto"/>
          <w:highlight w:val="none"/>
        </w:rPr>
        <w:t>（2）平台</w:t>
      </w:r>
      <w:r>
        <w:rPr>
          <w:rFonts w:ascii="宋体" w:hAnsi="宋体"/>
          <w:color w:val="auto"/>
          <w:highlight w:val="none"/>
        </w:rPr>
        <w:t>支持多源异构数据源的对接，支持</w:t>
      </w:r>
      <w:r>
        <w:rPr>
          <w:rFonts w:hint="eastAsia" w:ascii="宋体" w:hAnsi="宋体"/>
          <w:color w:val="auto"/>
          <w:highlight w:val="none"/>
        </w:rPr>
        <w:t>与</w:t>
      </w:r>
      <w:r>
        <w:rPr>
          <w:rFonts w:ascii="宋体" w:hAnsi="宋体"/>
          <w:color w:val="auto"/>
          <w:highlight w:val="none"/>
        </w:rPr>
        <w:t>Hadoop/Spark等主流大数据平台</w:t>
      </w:r>
      <w:r>
        <w:rPr>
          <w:rFonts w:hint="eastAsia" w:ascii="宋体" w:hAnsi="宋体"/>
          <w:color w:val="auto"/>
          <w:highlight w:val="none"/>
        </w:rPr>
        <w:t>的对接能力，</w:t>
      </w:r>
      <w:r>
        <w:rPr>
          <w:rFonts w:ascii="宋体" w:hAnsi="宋体"/>
          <w:color w:val="auto"/>
          <w:highlight w:val="none"/>
        </w:rPr>
        <w:t>做到TB级别的数据处理支持。</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平台需使用基于自然语言的交互方式构建查询条件,该能力适用于系统内所有涉及数据筛选</w:t>
      </w:r>
      <w:r>
        <w:rPr>
          <w:rFonts w:hint="eastAsia" w:ascii="宋体" w:hAnsi="宋体"/>
          <w:color w:val="auto"/>
          <w:sz w:val="24"/>
          <w:highlight w:val="none"/>
        </w:rPr>
        <w:t>、</w:t>
      </w:r>
      <w:r>
        <w:rPr>
          <w:rFonts w:ascii="宋体" w:hAnsi="宋体"/>
          <w:color w:val="auto"/>
          <w:sz w:val="24"/>
          <w:highlight w:val="none"/>
        </w:rPr>
        <w:t>查询</w:t>
      </w:r>
      <w:r>
        <w:rPr>
          <w:rFonts w:hint="eastAsia" w:ascii="宋体" w:hAnsi="宋体"/>
          <w:color w:val="auto"/>
          <w:sz w:val="24"/>
          <w:highlight w:val="none"/>
        </w:rPr>
        <w:t>、</w:t>
      </w:r>
      <w:r>
        <w:rPr>
          <w:rFonts w:ascii="宋体" w:hAnsi="宋体"/>
          <w:color w:val="auto"/>
          <w:sz w:val="24"/>
          <w:highlight w:val="none"/>
        </w:rPr>
        <w:t>指标加工的应用场景</w:t>
      </w:r>
      <w:r>
        <w:rPr>
          <w:rFonts w:hint="eastAsia" w:ascii="宋体" w:hAnsi="宋体"/>
          <w:color w:val="auto"/>
          <w:sz w:val="24"/>
          <w:highlight w:val="none"/>
        </w:rPr>
        <w:t>。</w:t>
      </w:r>
    </w:p>
    <w:p>
      <w:pPr>
        <w:adjustRightInd w:val="0"/>
        <w:snapToGrid w:val="0"/>
        <w:spacing w:line="360" w:lineRule="auto"/>
        <w:ind w:firstLine="480" w:firstLineChars="200"/>
        <w:jc w:val="left"/>
        <w:rPr>
          <w:color w:val="auto"/>
          <w:highlight w:val="none"/>
        </w:rPr>
      </w:pPr>
      <w:r>
        <w:rPr>
          <w:rFonts w:hint="eastAsia" w:ascii="宋体" w:hAnsi="宋体"/>
          <w:color w:val="auto"/>
          <w:sz w:val="24"/>
          <w:highlight w:val="none"/>
        </w:rPr>
        <w:t>（4）平台</w:t>
      </w:r>
      <w:r>
        <w:rPr>
          <w:rFonts w:ascii="宋体" w:hAnsi="宋体"/>
          <w:color w:val="auto"/>
          <w:sz w:val="24"/>
          <w:highlight w:val="none"/>
        </w:rPr>
        <w:t>底层应基于搜索引擎技术，实现高性能和基于关键字分词实时搜索型数据分析，能做到级数据秒级响应。</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（5）系统的认证</w:t>
      </w:r>
      <w:r>
        <w:rPr>
          <w:rFonts w:ascii="宋体" w:hAnsi="宋体"/>
          <w:color w:val="auto"/>
          <w:sz w:val="24"/>
          <w:highlight w:val="none"/>
        </w:rPr>
        <w:t>必须调用我校智慧校园的统一身份认证平台提供的认证接口，实现登录认证源的对接/单点登录</w:t>
      </w:r>
      <w:r>
        <w:rPr>
          <w:rFonts w:hint="eastAsia" w:ascii="宋体" w:hAnsi="宋体"/>
          <w:color w:val="auto"/>
          <w:sz w:val="24"/>
          <w:highlight w:val="none"/>
        </w:rPr>
        <w:t>集成。</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数据</w:t>
      </w:r>
      <w:r>
        <w:rPr>
          <w:rFonts w:hint="eastAsia" w:ascii="宋体" w:hAnsi="宋体"/>
          <w:color w:val="auto"/>
          <w:sz w:val="24"/>
          <w:highlight w:val="none"/>
        </w:rPr>
        <w:t>采集</w:t>
      </w:r>
      <w:r>
        <w:rPr>
          <w:rFonts w:ascii="宋体" w:hAnsi="宋体"/>
          <w:color w:val="auto"/>
          <w:sz w:val="24"/>
          <w:highlight w:val="none"/>
        </w:rPr>
        <w:t>需遵循我校“一数一源”的建</w:t>
      </w:r>
      <w:r>
        <w:rPr>
          <w:rFonts w:hint="eastAsia" w:ascii="宋体" w:hAnsi="宋体"/>
          <w:color w:val="auto"/>
          <w:sz w:val="24"/>
          <w:highlight w:val="none"/>
        </w:rPr>
        <w:t>设原则，人员、组织机构等数据需从我校数据中台统一获取权威数据。</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（7）在项目建设过程中，需将平台中的各类分析看板、数据报表、模型应用等与我校现有门户平台以及学校已建成的WeLink等移动端app进行集成。</w:t>
      </w:r>
    </w:p>
    <w:p>
      <w:pPr>
        <w:spacing w:line="360" w:lineRule="auto"/>
        <w:ind w:firstLine="482" w:firstLineChars="200"/>
        <w:jc w:val="left"/>
        <w:rPr>
          <w:b/>
          <w:bCs/>
          <w:color w:val="auto"/>
          <w:highlight w:val="none"/>
        </w:rPr>
      </w:pPr>
      <w:r>
        <w:rPr>
          <w:rFonts w:hint="eastAsia"/>
          <w:b/>
          <w:bCs/>
          <w:color w:val="auto"/>
          <w:sz w:val="24"/>
          <w:highlight w:val="none"/>
        </w:rPr>
        <w:t>所有投标人均须提供投标产品满足的技术指标，并明确是否满足上述技术指标要求。</w:t>
      </w:r>
    </w:p>
    <w:p>
      <w:pPr>
        <w:pStyle w:val="6"/>
        <w:rPr>
          <w:color w:val="auto"/>
          <w:sz w:val="24"/>
          <w:szCs w:val="24"/>
          <w:highlight w:val="none"/>
          <w:lang w:val="sq-AL"/>
        </w:rPr>
      </w:pPr>
      <w:bookmarkStart w:id="14" w:name="_Toc22165"/>
      <w:r>
        <w:rPr>
          <w:rFonts w:hint="eastAsia"/>
          <w:color w:val="auto"/>
          <w:sz w:val="24"/>
          <w:szCs w:val="24"/>
          <w:highlight w:val="none"/>
          <w:lang w:val="sq-AL"/>
        </w:rPr>
        <w:t>3、对项目技术架构和技术实现途径的要求</w:t>
      </w:r>
      <w:bookmarkEnd w:id="14"/>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基础平台和数据应用均可运行于Linux、Unix等高安全性操作系统。开发技术应采用</w:t>
      </w:r>
      <w:r>
        <w:rPr>
          <w:rFonts w:hint="eastAsia" w:ascii="宋体" w:hAnsi="宋体"/>
          <w:color w:val="auto"/>
          <w:sz w:val="24"/>
          <w:highlight w:val="none"/>
        </w:rPr>
        <w:t>Java</w:t>
      </w:r>
      <w:r>
        <w:rPr>
          <w:rFonts w:ascii="宋体" w:hAnsi="宋体"/>
          <w:color w:val="auto"/>
          <w:sz w:val="24"/>
          <w:highlight w:val="none"/>
        </w:rPr>
        <w:t xml:space="preserve"> </w:t>
      </w:r>
      <w:r>
        <w:rPr>
          <w:rFonts w:hint="eastAsia" w:ascii="宋体" w:hAnsi="宋体"/>
          <w:color w:val="auto"/>
          <w:sz w:val="24"/>
          <w:highlight w:val="none"/>
        </w:rPr>
        <w:t>EE</w:t>
      </w:r>
      <w:r>
        <w:rPr>
          <w:rFonts w:ascii="宋体" w:hAnsi="宋体"/>
          <w:color w:val="auto"/>
          <w:sz w:val="24"/>
          <w:highlight w:val="none"/>
        </w:rPr>
        <w:t>标准、组件技术，使系统功能最优化，同时将整体系统内部在技术上的相互依赖性减至最低。</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平台应为纯B/S体系结构，平台每个子功能套件之间需要有统一的</w:t>
      </w:r>
      <w:r>
        <w:rPr>
          <w:rFonts w:hint="eastAsia" w:ascii="宋体" w:hAnsi="宋体"/>
          <w:color w:val="auto"/>
          <w:sz w:val="24"/>
          <w:highlight w:val="none"/>
        </w:rPr>
        <w:t>Web</w:t>
      </w:r>
      <w:r>
        <w:rPr>
          <w:rFonts w:ascii="宋体" w:hAnsi="宋体"/>
          <w:color w:val="auto"/>
          <w:sz w:val="24"/>
          <w:highlight w:val="none"/>
        </w:rPr>
        <w:t>入口。支持各套件或功能模块的自由切换，支持不同功能套件的并行使用和交叉使用；</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（3）大数据服务平台</w:t>
      </w:r>
      <w:r>
        <w:rPr>
          <w:rFonts w:ascii="宋体" w:hAnsi="宋体"/>
          <w:color w:val="auto"/>
          <w:sz w:val="24"/>
          <w:highlight w:val="none"/>
        </w:rPr>
        <w:t>底层须使用基于Elasticsearch 6.0或以上版本的搜索引擎数据库以保证亿级数据的秒级分析展现</w:t>
      </w:r>
      <w:r>
        <w:rPr>
          <w:rFonts w:hint="eastAsia" w:ascii="宋体" w:hAnsi="宋体"/>
          <w:color w:val="auto"/>
          <w:sz w:val="24"/>
          <w:highlight w:val="none"/>
        </w:rPr>
        <w:t>性能</w:t>
      </w:r>
      <w:r>
        <w:rPr>
          <w:rFonts w:ascii="宋体" w:hAnsi="宋体"/>
          <w:color w:val="auto"/>
          <w:sz w:val="24"/>
          <w:highlight w:val="none"/>
        </w:rPr>
        <w:t>。</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（4）平台</w:t>
      </w:r>
      <w:r>
        <w:rPr>
          <w:rFonts w:ascii="宋体" w:hAnsi="宋体"/>
          <w:color w:val="auto"/>
          <w:sz w:val="24"/>
          <w:highlight w:val="none"/>
        </w:rPr>
        <w:t>需采用微服务架构，使得服务之间松耦合，通过API来进行交互，以保证复杂程序的持续交付和维护。</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平台</w:t>
      </w:r>
      <w:r>
        <w:rPr>
          <w:rFonts w:hint="eastAsia" w:ascii="宋体" w:hAnsi="宋体"/>
          <w:color w:val="auto"/>
          <w:sz w:val="24"/>
          <w:highlight w:val="none"/>
        </w:rPr>
        <w:t>需</w:t>
      </w:r>
      <w:r>
        <w:rPr>
          <w:rFonts w:ascii="宋体" w:hAnsi="宋体"/>
          <w:color w:val="auto"/>
          <w:sz w:val="24"/>
          <w:highlight w:val="none"/>
        </w:rPr>
        <w:t>基于SAAS体系架构设计，可支持以SAAS用户的形式在同一套部署环境上多实例运行。</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产品部署形式应采用基于docker的容器技术</w:t>
      </w:r>
      <w:r>
        <w:rPr>
          <w:rFonts w:hint="eastAsia" w:ascii="宋体" w:hAnsi="宋体"/>
          <w:color w:val="auto"/>
          <w:sz w:val="24"/>
          <w:highlight w:val="none"/>
        </w:rPr>
        <w:t>进行部署</w:t>
      </w:r>
      <w:r>
        <w:rPr>
          <w:rFonts w:ascii="宋体" w:hAnsi="宋体"/>
          <w:color w:val="auto"/>
          <w:sz w:val="24"/>
          <w:highlight w:val="none"/>
        </w:rPr>
        <w:t>，大幅降低部署</w:t>
      </w:r>
      <w:r>
        <w:rPr>
          <w:rFonts w:hint="eastAsia" w:ascii="宋体" w:hAnsi="宋体"/>
          <w:color w:val="auto"/>
          <w:sz w:val="24"/>
          <w:highlight w:val="none"/>
        </w:rPr>
        <w:t>与维护升级成本。</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（7）支持完备的日志管理功能，包括系统安全日志、系统操作日志和系统运行日志，支持日志查询，支持日志文件导出。</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（8）国产化支持，平台需兼容ARM架构和MIPS架构的国产操作系统，包括中标麒麟和银河麒麟系统。</w:t>
      </w:r>
    </w:p>
    <w:p>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所有投标人须按照上述要求分项应答，提供针对该项要求的技术方案。</w:t>
      </w:r>
    </w:p>
    <w:p>
      <w:pPr>
        <w:adjustRightInd w:val="0"/>
        <w:snapToGrid w:val="0"/>
        <w:spacing w:line="360" w:lineRule="auto"/>
        <w:rPr>
          <w:rFonts w:ascii="宋体" w:hAnsi="宋体"/>
          <w:color w:val="auto"/>
          <w:sz w:val="24"/>
          <w:highlight w:val="none"/>
        </w:rPr>
      </w:pPr>
      <w:bookmarkStart w:id="15" w:name="_Toc21244"/>
      <w:r>
        <w:rPr>
          <w:rFonts w:hint="eastAsia" w:ascii="宋体" w:hAnsi="宋体"/>
          <w:color w:val="auto"/>
          <w:sz w:val="24"/>
          <w:highlight w:val="none"/>
        </w:rPr>
        <w:t>4、项目验收及质保期</w:t>
      </w:r>
      <w:bookmarkEnd w:id="1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（1）合同签订后</w:t>
      </w:r>
      <w:r>
        <w:rPr>
          <w:rFonts w:hint="eastAsia" w:ascii="宋体" w:hAnsi="宋体" w:cs="宋体"/>
          <w:color w:val="auto"/>
          <w:sz w:val="24"/>
          <w:highlight w:val="none"/>
          <w:u w:val="single"/>
        </w:rPr>
        <w:t>90</w:t>
      </w:r>
      <w:r>
        <w:rPr>
          <w:rFonts w:hint="eastAsia" w:ascii="宋体" w:hAnsi="宋体" w:cs="宋体"/>
          <w:color w:val="auto"/>
          <w:sz w:val="24"/>
          <w:highlight w:val="none"/>
        </w:rPr>
        <w:t>个工作日内交付所有功能并接受验收。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（2）项目的验收分为两个阶段，分别须达到如下要求：</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一阶段验收即初验要求如下：</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1）完成大数据服务平台的搭建</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2）完成领导驾驶舱应用中至少6个业务专题指标的构建分析展示。</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二阶段验收即终验要求如下：</w:t>
      </w:r>
    </w:p>
    <w:p>
      <w:pPr>
        <w:pStyle w:val="2"/>
        <w:spacing w:line="360" w:lineRule="auto"/>
        <w:ind w:firstLine="720" w:firstLineChars="300"/>
        <w:jc w:val="both"/>
        <w:rPr>
          <w:rFonts w:ascii="宋体" w:hAnsi="宋体" w:cs="宋体"/>
          <w:color w:val="auto"/>
          <w:highlight w:val="none"/>
        </w:rPr>
      </w:pPr>
      <w:r>
        <w:rPr>
          <w:rFonts w:hint="eastAsia" w:ascii="宋体" w:hAnsi="宋体" w:cs="宋体"/>
          <w:color w:val="auto"/>
          <w:highlight w:val="none"/>
        </w:rPr>
        <w:t>1）完成领导驾驶舱应用建设要求中剩余的业务专题指标的构建分析展示。</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2）输出《哈尔滨工业大学领导驾驶舱核心指标体系库》</w:t>
      </w:r>
    </w:p>
    <w:p>
      <w:pPr>
        <w:spacing w:line="360" w:lineRule="auto"/>
        <w:ind w:firstLine="480" w:firstLineChars="200"/>
        <w:rPr>
          <w:color w:val="auto"/>
          <w:sz w:val="24"/>
          <w:highlight w:val="none"/>
        </w:rPr>
      </w:pPr>
      <w:r>
        <w:rPr>
          <w:rFonts w:hint="eastAsia" w:ascii="宋体" w:hAnsi="宋体" w:cs="宋体"/>
          <w:color w:val="auto"/>
          <w:sz w:val="24"/>
          <w:highlight w:val="none"/>
        </w:rPr>
        <w:t>（3）项目免费质保周期为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pPr>
        <w:spacing w:line="360" w:lineRule="auto"/>
        <w:ind w:firstLine="482" w:firstLineChars="200"/>
        <w:rPr>
          <w:b/>
          <w:bCs/>
          <w:color w:val="auto"/>
          <w:sz w:val="24"/>
          <w:highlight w:val="none"/>
        </w:rPr>
      </w:pPr>
      <w:r>
        <w:rPr>
          <w:rFonts w:hint="eastAsia"/>
          <w:b/>
          <w:bCs/>
          <w:color w:val="auto"/>
          <w:sz w:val="24"/>
          <w:highlight w:val="none"/>
        </w:rPr>
        <w:t>所有投标人须按照上述要求分项应答，按照指定的日期和验收要求供货，并承诺质保周期。</w:t>
      </w:r>
    </w:p>
    <w:p>
      <w:pPr>
        <w:pStyle w:val="2"/>
        <w:spacing w:line="360" w:lineRule="auto"/>
        <w:ind w:firstLine="0" w:firstLineChars="0"/>
        <w:jc w:val="left"/>
        <w:rPr>
          <w:rFonts w:ascii="宋体" w:hAnsi="宋体" w:cs="宋体"/>
          <w:color w:val="auto"/>
          <w:highlight w:val="none"/>
        </w:rPr>
      </w:pPr>
      <w:bookmarkStart w:id="16" w:name="_Toc30531"/>
      <w:r>
        <w:rPr>
          <w:rFonts w:hint="eastAsia" w:ascii="宋体" w:hAnsi="宋体" w:cs="宋体"/>
          <w:color w:val="auto"/>
          <w:highlight w:val="none"/>
        </w:rPr>
        <w:t>5、付款方法和条件</w:t>
      </w:r>
      <w:bookmarkEnd w:id="1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本项目在签署合同后按照分期付款方式执行付款：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（1）签订正式合同后的7个工作日内，支付合同额的30%。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（2）在一阶段验收节点即初验合格后的7个工作日内，支付合同额的25%。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（3）在二阶段验收节点即终验合格后的7个工作日内，支付合同额的25%。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（4）项目终验完成支付合同额的15%；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（5）质保期满后7个工作日内，支付剩余款项，共计合同额的5%。</w:t>
      </w:r>
    </w:p>
    <w:p>
      <w:pPr>
        <w:pStyle w:val="2"/>
        <w:spacing w:line="360" w:lineRule="auto"/>
        <w:ind w:firstLine="0" w:firstLineChars="0"/>
        <w:jc w:val="left"/>
        <w:rPr>
          <w:rFonts w:ascii="宋体" w:hAnsi="宋体" w:cs="宋体"/>
          <w:color w:val="auto"/>
          <w:highlight w:val="none"/>
        </w:rPr>
      </w:pPr>
      <w:bookmarkStart w:id="17" w:name="_Toc21158"/>
      <w:r>
        <w:rPr>
          <w:rFonts w:hint="eastAsia" w:ascii="宋体" w:hAnsi="宋体" w:cs="宋体"/>
          <w:color w:val="auto"/>
          <w:highlight w:val="none"/>
        </w:rPr>
        <w:t>6、售后维护要求</w:t>
      </w:r>
      <w:bookmarkEnd w:id="17"/>
    </w:p>
    <w:p>
      <w:pPr>
        <w:spacing w:line="360" w:lineRule="auto"/>
        <w:ind w:firstLine="480" w:firstLineChars="200"/>
        <w:rPr>
          <w:color w:val="auto"/>
          <w:sz w:val="24"/>
          <w:highlight w:val="none"/>
        </w:rPr>
      </w:pPr>
      <w:r>
        <w:rPr>
          <w:rFonts w:hint="eastAsia"/>
          <w:color w:val="auto"/>
          <w:sz w:val="24"/>
          <w:highlight w:val="none"/>
        </w:rPr>
        <w:t>所有供应商须承诺在项目合同规定的服务期内对系统进行免费维护，包括但不限于系统故障修复、系统升级、数据迁移、补丁包安装、安全漏洞修复、系统间数据共享、系统间业务对接和系统问题咨询等。</w:t>
      </w:r>
    </w:p>
    <w:p>
      <w:pPr>
        <w:spacing w:line="360" w:lineRule="auto"/>
        <w:ind w:firstLine="480" w:firstLineChars="200"/>
        <w:rPr>
          <w:rFonts w:ascii="宋体" w:hAnsi="宋体" w:cs="宋体"/>
          <w:iCs/>
          <w:color w:val="auto"/>
          <w:sz w:val="24"/>
          <w:highlight w:val="none"/>
          <w:lang w:val="sq-AL"/>
        </w:rPr>
      </w:pPr>
      <w:r>
        <w:rPr>
          <w:rFonts w:hint="eastAsia" w:ascii="宋体" w:hAnsi="宋体" w:cs="宋体"/>
          <w:iCs/>
          <w:color w:val="auto"/>
          <w:sz w:val="24"/>
          <w:highlight w:val="none"/>
        </w:rPr>
        <w:t>（1）</w:t>
      </w:r>
      <w:r>
        <w:rPr>
          <w:rFonts w:hint="eastAsia" w:ascii="宋体" w:hAnsi="宋体" w:cs="宋体"/>
          <w:iCs/>
          <w:color w:val="auto"/>
          <w:sz w:val="24"/>
          <w:highlight w:val="none"/>
          <w:lang w:val="sq-AL"/>
        </w:rPr>
        <w:t>对项目使用培训的要求</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供应商需根据用户需求不断改进系统功能和性能，并提供有效的二次开发培训。</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应针对本项目的最终用户和系统运行维护用户提供分层次培训。需提供灵活多样的培训方式，包括最终用户的操作培训、对运行维护人员的技术培训等。</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应制定详细的人员培训方案，培训方案应包括培训目的、培训时间安排、人员层次、人数、次数、培训课程（包括课程介绍）主要内容（列出培训基本内容）培训组织方式等。</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对于提供的所有培训，必须保证师资力量，主要培训教员应是产品的主要设计和开发者。</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培训的内容及方案应由双方协商制定。供应商前来进行技术培训的人员的费用包括在合同总价中。</w:t>
      </w:r>
    </w:p>
    <w:p>
      <w:pPr>
        <w:spacing w:line="360" w:lineRule="auto"/>
        <w:ind w:firstLine="480" w:firstLineChars="200"/>
        <w:rPr>
          <w:rFonts w:ascii="宋体" w:hAnsi="宋体" w:cs="宋体"/>
          <w:iCs/>
          <w:color w:val="auto"/>
          <w:sz w:val="24"/>
          <w:highlight w:val="none"/>
          <w:lang w:val="sq-AL"/>
        </w:rPr>
      </w:pPr>
      <w:r>
        <w:rPr>
          <w:rFonts w:hint="eastAsia" w:ascii="宋体" w:hAnsi="宋体" w:cs="宋体"/>
          <w:iCs/>
          <w:color w:val="auto"/>
          <w:sz w:val="24"/>
          <w:highlight w:val="none"/>
        </w:rPr>
        <w:t>（2）</w:t>
      </w:r>
      <w:r>
        <w:rPr>
          <w:rFonts w:hint="eastAsia" w:ascii="宋体" w:hAnsi="宋体" w:cs="宋体"/>
          <w:iCs/>
          <w:color w:val="auto"/>
          <w:sz w:val="24"/>
          <w:highlight w:val="none"/>
          <w:lang w:val="sq-AL"/>
        </w:rPr>
        <w:t>对项目售后服务的要求</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在项目实施地点要有驻场售后服务,驻场服务期为验收后的</w:t>
      </w:r>
      <w:r>
        <w:rPr>
          <w:rFonts w:hint="eastAsia" w:ascii="宋体" w:hAnsi="宋体" w:cs="宋体"/>
          <w:iCs/>
          <w:color w:val="auto"/>
          <w:sz w:val="24"/>
          <w:highlight w:val="none"/>
          <w:u w:val="single"/>
        </w:rPr>
        <w:t>1</w:t>
      </w:r>
      <w:r>
        <w:rPr>
          <w:rFonts w:hint="eastAsia" w:ascii="宋体" w:hAnsi="宋体" w:cs="宋体"/>
          <w:iCs/>
          <w:color w:val="auto"/>
          <w:sz w:val="24"/>
          <w:highlight w:val="none"/>
        </w:rPr>
        <w:t>年。</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在服务期内，应始终通过现场服务、电话服务、远程服务等方式提供快速、高效的维护服务。</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服务期内须提供所供软件系统的系统BUG修复、系统性能优化等服务。</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协助提供系统数据备份服务，并定期检验数据备份的有效性。</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协助采购人对产品运行环境（包括操作系统、数据库、中间件以及其它相关软件）及时进行打补丁、查病毒服务。</w:t>
      </w:r>
    </w:p>
    <w:p>
      <w:pPr>
        <w:numPr>
          <w:ilvl w:val="0"/>
          <w:numId w:val="4"/>
        </w:numPr>
        <w:spacing w:line="360" w:lineRule="auto"/>
        <w:ind w:left="0" w:firstLine="480" w:firstLineChars="200"/>
        <w:rPr>
          <w:iCs/>
          <w:color w:val="auto"/>
          <w:sz w:val="24"/>
          <w:highlight w:val="none"/>
        </w:rPr>
      </w:pPr>
      <w:r>
        <w:rPr>
          <w:rFonts w:hint="eastAsia" w:ascii="宋体" w:hAnsi="宋体" w:cs="宋体"/>
          <w:iCs/>
          <w:color w:val="auto"/>
          <w:sz w:val="24"/>
          <w:highlight w:val="none"/>
        </w:rPr>
        <w:t>供应商</w:t>
      </w:r>
      <w:r>
        <w:rPr>
          <w:rFonts w:hint="eastAsia"/>
          <w:iCs/>
          <w:color w:val="auto"/>
          <w:sz w:val="24"/>
          <w:highlight w:val="none"/>
        </w:rPr>
        <w:t>在投标时须提出软件系统及运行环境的定期维护计划，对采购人要求的不定期维护提出响应措施。</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实施系统维护或修改设计后，应在1周内更新有关技术文档并提交采购人。</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技术支持方面，提供7×24小时的技术咨询服务，每年提供至少2次对系统运行状况的评估服务，提供每月1次巡视服务，检测软件系统及运行环境的运行情况。</w:t>
      </w:r>
    </w:p>
    <w:p>
      <w:pPr>
        <w:numPr>
          <w:ilvl w:val="0"/>
          <w:numId w:val="4"/>
        </w:numPr>
        <w:spacing w:line="360" w:lineRule="auto"/>
        <w:ind w:left="0" w:firstLine="480" w:firstLineChars="200"/>
        <w:rPr>
          <w:rFonts w:ascii="宋体" w:hAnsi="宋体" w:cs="宋体"/>
          <w:iCs/>
          <w:color w:val="auto"/>
          <w:sz w:val="24"/>
          <w:highlight w:val="none"/>
        </w:rPr>
      </w:pPr>
      <w:r>
        <w:rPr>
          <w:rFonts w:hint="eastAsia" w:ascii="宋体" w:hAnsi="宋体" w:cs="宋体"/>
          <w:iCs/>
          <w:color w:val="auto"/>
          <w:sz w:val="24"/>
          <w:highlight w:val="none"/>
        </w:rPr>
        <w:t>故障响应方面，提供7×24小时的故障服务受理；对重大故障提供7×24小时的现场支援，一般故障提供5×8小时支援；故障服务的响应时间小于1小时；中断时间不能超过3小时。</w:t>
      </w:r>
    </w:p>
    <w:p>
      <w:pPr>
        <w:spacing w:line="360" w:lineRule="auto"/>
        <w:ind w:firstLine="482" w:firstLineChars="200"/>
        <w:rPr>
          <w:b/>
          <w:bCs/>
          <w:color w:val="auto"/>
          <w:sz w:val="24"/>
          <w:highlight w:val="none"/>
        </w:rPr>
      </w:pPr>
      <w:r>
        <w:rPr>
          <w:rFonts w:hint="eastAsia"/>
          <w:b/>
          <w:bCs/>
          <w:color w:val="auto"/>
          <w:sz w:val="24"/>
          <w:highlight w:val="none"/>
        </w:rPr>
        <w:t>所有投标人须按照上述要求分项应答，明确售后维护方案。</w:t>
      </w:r>
    </w:p>
    <w:p>
      <w:pPr>
        <w:pStyle w:val="5"/>
        <w:spacing w:line="360" w:lineRule="auto"/>
        <w:rPr>
          <w:color w:val="auto"/>
          <w:sz w:val="24"/>
          <w:szCs w:val="24"/>
          <w:highlight w:val="none"/>
        </w:rPr>
      </w:pPr>
      <w:bookmarkStart w:id="18" w:name="_Toc27077"/>
      <w:r>
        <w:rPr>
          <w:rFonts w:hint="eastAsia"/>
          <w:color w:val="auto"/>
          <w:sz w:val="24"/>
          <w:szCs w:val="24"/>
          <w:highlight w:val="none"/>
        </w:rPr>
        <w:t>四、项目与学校信息化总体框架兼容的要求</w:t>
      </w:r>
      <w:bookmarkEnd w:id="18"/>
    </w:p>
    <w:p>
      <w:pPr>
        <w:spacing w:line="360" w:lineRule="auto"/>
        <w:ind w:firstLine="482" w:firstLineChars="200"/>
        <w:rPr>
          <w:b/>
          <w:bCs/>
          <w:color w:val="auto"/>
          <w:sz w:val="24"/>
          <w:highlight w:val="none"/>
        </w:rPr>
      </w:pPr>
      <w:r>
        <w:rPr>
          <w:rFonts w:hint="eastAsia"/>
          <w:b/>
          <w:bCs/>
          <w:color w:val="auto"/>
          <w:sz w:val="24"/>
          <w:highlight w:val="none"/>
        </w:rPr>
        <w:t>所有投标人须按照以下各小节的技术要求分项应答，明确具体的技术实施方案。如不予应答或未给出具体实施方案，则视为不满足招标要求。</w:t>
      </w:r>
    </w:p>
    <w:p>
      <w:pPr>
        <w:pStyle w:val="6"/>
        <w:rPr>
          <w:color w:val="auto"/>
          <w:sz w:val="24"/>
          <w:szCs w:val="24"/>
          <w:highlight w:val="none"/>
        </w:rPr>
      </w:pPr>
      <w:bookmarkStart w:id="19" w:name="_Toc25278"/>
      <w:r>
        <w:rPr>
          <w:rFonts w:hint="eastAsia"/>
          <w:color w:val="auto"/>
          <w:sz w:val="24"/>
          <w:szCs w:val="24"/>
          <w:highlight w:val="none"/>
        </w:rPr>
        <w:t>1、系统对接要求</w:t>
      </w:r>
      <w:bookmarkEnd w:id="19"/>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（1）统一身份认证接入要求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统一身份认证服务通过统一管理用户的认证过程和认证信息，使登录后的用户在应用之间可以不需再次登录，为用户带来 “单点登录，多点漫游”的便利。校园用户提供与校园其他系统数据/功能对接的唯一标识，因此在系统登录与用户身份需与校园统一身份认证服务进行对接。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（2）共享数据中心数据对接要求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按学校相关的数据标准，以只读视图的方式授权和开放系统数据，这些数据将会被同步至共享数据中心，供其他业务系统使用。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面向其他应用系统需提供数据访问接⼝的服务，根据数据访问的要求对元数据进行封装，以 Web Service 接口的形式对外发布。</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（3）统一通信平台对接要求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基于校园各类应用系统信息统一收发要求，除系统内通知消息外，所有业务系统通过短信、微信、邮件等通道发送的消息均须对接校园统一通信平台，由统一通信平台负责发送，包括回执消息的接收。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信息发送须严格遵守各通信运营商对信息安全管理和企业用户授权的相关要求，包括但不限于信息审计、黑白名单设置和信息模板管理等要求。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（4）校园门户集成要求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包括四个方面的集成内容：</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1）资讯对接：为系统的资讯类内容提供RSS或API订阅接口，以供第三方系统的统一调用。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2）待办/已办接口对接：包括系统产生的流程类状态信息等。此类数据需由系统提供相应的Webservice接口，供门户系统待办/已办功能调用。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3）服务对接：校园门户内提供校园办事服务功能，涉及到师生服务的申请、办事类应用需与办事服务进行对接。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4）应用对接：校园门户提供开发者服务功能，支持门户内应用的开发与集成，对于能够为师生提供的简单应用，应在门户平台中遵循相应的接口与界面规范建立对应的应用（第（5）条要求的移动应用集成同理）。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5）应用或服务与门户的对接可能涉及到直接跳转、数据集成、界面集成等多种方式，每个应用或服务具体的对接策略待之后双方视具体情况共同商议决定。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（5）校园移动应用集成要求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包括移动数字校园APP与校园微信公众服务号/企业号，内置的应用商店等。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（6）校园统一支付缴费平台的集成要求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如果项目中存在支付缴费类业务，应具备与学校统一支付缴费平台集成的能力：</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1）能根据统一支付缴费平台提供的标准化开发接口实现支付缴费业务的定制与开发。</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2）能提供标准开放式接口，用于统一支付缴费平台获取相关数据。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具体的技术实施方案可由本项目施工单位和统一支付缴费平台施工单位协商确定。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（7）校园一卡通系统集成要求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如果项目中存在与一卡通系统相关业务，应具备与校园一卡通系统对接集成的能力：</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1）能根据一卡通系统提供的标准化开发接口实现与一卡通系统的集成开发。</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2）能提供标准化开放式接口，用于一卡通系统获取相关数据。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具体的技术实施方案可由本项目施工单位和一卡通系统施工单位协商确定。</w:t>
      </w:r>
    </w:p>
    <w:p>
      <w:pPr>
        <w:spacing w:line="360" w:lineRule="auto"/>
        <w:jc w:val="left"/>
        <w:rPr>
          <w:rFonts w:ascii="宋体" w:hAnsi="宋体" w:cs="宋体"/>
          <w:color w:val="auto"/>
          <w:sz w:val="24"/>
          <w:highlight w:val="none"/>
        </w:rPr>
      </w:pPr>
      <w:bookmarkStart w:id="20" w:name="_Toc20035"/>
      <w:r>
        <w:rPr>
          <w:rFonts w:hint="eastAsia" w:ascii="宋体" w:hAnsi="宋体" w:cs="宋体"/>
          <w:color w:val="auto"/>
          <w:sz w:val="24"/>
          <w:highlight w:val="none"/>
        </w:rPr>
        <w:t>2、对系统扩展性的要求</w:t>
      </w:r>
      <w:bookmarkEnd w:id="20"/>
    </w:p>
    <w:p>
      <w:pPr>
        <w:spacing w:line="360" w:lineRule="auto"/>
        <w:ind w:firstLine="480" w:firstLineChars="200"/>
        <w:rPr>
          <w:color w:val="auto"/>
          <w:sz w:val="24"/>
          <w:highlight w:val="none"/>
        </w:rPr>
      </w:pPr>
      <w:r>
        <w:rPr>
          <w:rFonts w:hint="eastAsia"/>
          <w:color w:val="auto"/>
          <w:sz w:val="24"/>
          <w:highlight w:val="none"/>
        </w:rPr>
        <w:t>具备良好的应用集成能力，提供标准的数据接口，支持二次开发。</w:t>
      </w:r>
    </w:p>
    <w:p>
      <w:pPr>
        <w:spacing w:line="360" w:lineRule="auto"/>
        <w:ind w:firstLine="480" w:firstLineChars="200"/>
        <w:rPr>
          <w:color w:val="auto"/>
          <w:sz w:val="24"/>
          <w:highlight w:val="none"/>
        </w:rPr>
      </w:pPr>
      <w:r>
        <w:rPr>
          <w:rFonts w:hint="eastAsia"/>
          <w:color w:val="auto"/>
          <w:sz w:val="24"/>
          <w:highlight w:val="none"/>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firstLineChars="200"/>
        <w:rPr>
          <w:color w:val="auto"/>
          <w:sz w:val="24"/>
          <w:highlight w:val="none"/>
        </w:rPr>
      </w:pPr>
      <w:r>
        <w:rPr>
          <w:rFonts w:hint="eastAsia"/>
          <w:color w:val="auto"/>
          <w:sz w:val="24"/>
          <w:highlight w:val="none"/>
        </w:rPr>
        <w:t>系统须具备良好的扩展性，具有较长的生命周期，在后期的应用过程中能够基于平台进行业务扩展。</w:t>
      </w:r>
    </w:p>
    <w:p>
      <w:pPr>
        <w:spacing w:line="360" w:lineRule="auto"/>
        <w:rPr>
          <w:rFonts w:ascii="宋体" w:hAnsi="宋体" w:cs="宋体"/>
          <w:color w:val="auto"/>
          <w:sz w:val="24"/>
          <w:highlight w:val="none"/>
        </w:rPr>
      </w:pPr>
      <w:bookmarkStart w:id="21" w:name="_Toc5142"/>
      <w:r>
        <w:rPr>
          <w:rFonts w:hint="eastAsia" w:ascii="宋体" w:hAnsi="宋体" w:cs="宋体"/>
          <w:color w:val="auto"/>
          <w:sz w:val="24"/>
          <w:highlight w:val="none"/>
        </w:rPr>
        <w:t>3、对系统安全性的要求</w:t>
      </w:r>
      <w:bookmarkEnd w:id="21"/>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（1）总体要求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1）系统提供商对于因为程序代码、框架技术以及使用的中间件而产生的应用系统漏洞或</w:t>
      </w:r>
      <w:r>
        <w:rPr>
          <w:rFonts w:hint="eastAsia" w:ascii="宋体" w:hAnsi="宋体" w:cs="宋体"/>
          <w:b/>
          <w:bCs/>
          <w:color w:val="auto"/>
          <w:sz w:val="24"/>
          <w:highlight w:val="none"/>
        </w:rPr>
        <w:t>bug</w:t>
      </w:r>
      <w:r>
        <w:rPr>
          <w:rFonts w:hint="eastAsia" w:ascii="宋体" w:hAnsi="宋体" w:cs="宋体"/>
          <w:color w:val="auto"/>
          <w:sz w:val="24"/>
          <w:highlight w:val="none"/>
        </w:rPr>
        <w:t>等程序错误终身负责维护升级；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2）系统上线前须经学校的安全准入检测，不合格的系统不能上线并验收；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3）系统运行过程中定期或不定期接受相关部门的安全评测，接到系统安全评测或渗透报告后须提供详实可行的整改报告，经复测验证合格后方可再次上线运行。</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（2）系统配置要求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1）系统必须保证为正常上线系统，须更新为最新。禁止采用失去技术升级的系统（如：</w:t>
      </w:r>
      <w:r>
        <w:rPr>
          <w:rFonts w:hint="eastAsia" w:ascii="宋体" w:hAnsi="宋体" w:cs="宋体"/>
          <w:b/>
          <w:bCs/>
          <w:color w:val="auto"/>
          <w:sz w:val="24"/>
          <w:highlight w:val="none"/>
        </w:rPr>
        <w:t>windows 2003</w:t>
      </w:r>
      <w:r>
        <w:rPr>
          <w:rFonts w:hint="eastAsia" w:ascii="宋体" w:hAnsi="宋体" w:cs="宋体"/>
          <w:color w:val="auto"/>
          <w:sz w:val="24"/>
          <w:highlight w:val="none"/>
        </w:rPr>
        <w:t>等）；禁止采用含有已知漏洞的组件、应用程序、框架（如：</w:t>
      </w:r>
      <w:r>
        <w:rPr>
          <w:rFonts w:hint="eastAsia" w:ascii="宋体" w:hAnsi="宋体" w:cs="宋体"/>
          <w:b/>
          <w:bCs/>
          <w:color w:val="auto"/>
          <w:sz w:val="24"/>
          <w:highlight w:val="none"/>
        </w:rPr>
        <w:t>Struts 2.5 - Struts 2.5.10</w:t>
      </w:r>
      <w:r>
        <w:rPr>
          <w:rFonts w:hint="eastAsia" w:ascii="宋体" w:hAnsi="宋体" w:cs="宋体"/>
          <w:color w:val="auto"/>
          <w:sz w:val="24"/>
          <w:highlight w:val="none"/>
        </w:rPr>
        <w:t>）、应用程序服务器、</w:t>
      </w:r>
      <w:r>
        <w:rPr>
          <w:rFonts w:hint="eastAsia" w:ascii="宋体" w:hAnsi="宋体" w:cs="宋体"/>
          <w:b/>
          <w:bCs/>
          <w:color w:val="auto"/>
          <w:sz w:val="24"/>
          <w:highlight w:val="none"/>
        </w:rPr>
        <w:t>Web</w:t>
      </w:r>
      <w:r>
        <w:rPr>
          <w:rFonts w:hint="eastAsia" w:ascii="宋体" w:hAnsi="宋体" w:cs="宋体"/>
          <w:color w:val="auto"/>
          <w:sz w:val="24"/>
          <w:highlight w:val="none"/>
        </w:rPr>
        <w:t>服务器、数据库服务器和平台定义，以上系统必须执行安全配置，禁止默认安装。所有的软件应该保持及时更新，采用</w:t>
      </w:r>
      <w:r>
        <w:rPr>
          <w:rFonts w:hint="eastAsia" w:ascii="宋体" w:hAnsi="宋体" w:cs="宋体"/>
          <w:b/>
          <w:color w:val="auto"/>
          <w:sz w:val="24"/>
          <w:highlight w:val="none"/>
        </w:rPr>
        <w:t>struts2</w:t>
      </w:r>
      <w:r>
        <w:rPr>
          <w:rFonts w:hint="eastAsia" w:ascii="宋体" w:hAnsi="宋体" w:cs="宋体"/>
          <w:color w:val="auto"/>
          <w:sz w:val="24"/>
          <w:highlight w:val="none"/>
        </w:rPr>
        <w:t>的系统原则上不允许对校外提供服务；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2）保证系统服务正常并与上线系统保持一致，无调试和报错信息（如：断点、</w:t>
      </w:r>
      <w:r>
        <w:rPr>
          <w:rFonts w:hint="eastAsia" w:ascii="宋体" w:hAnsi="宋体" w:cs="宋体"/>
          <w:b/>
          <w:bCs/>
          <w:color w:val="auto"/>
          <w:sz w:val="24"/>
          <w:highlight w:val="none"/>
        </w:rPr>
        <w:t>printf</w:t>
      </w:r>
      <w:r>
        <w:rPr>
          <w:rFonts w:hint="eastAsia" w:ascii="宋体" w:hAnsi="宋体" w:cs="宋体"/>
          <w:color w:val="auto"/>
          <w:sz w:val="24"/>
          <w:highlight w:val="none"/>
        </w:rPr>
        <w:t>等调试信息），无注释信息，删除系统默认安装的各种例程、文档及管理程序；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3）系统中禁止暴露配置信息（如数据库连接信息）、源码备份文件、.git,.svn仓库等，严禁在</w:t>
      </w:r>
      <w:r>
        <w:rPr>
          <w:rFonts w:hint="eastAsia" w:ascii="宋体" w:hAnsi="宋体" w:cs="宋体"/>
          <w:b/>
          <w:bCs/>
          <w:color w:val="auto"/>
          <w:sz w:val="24"/>
          <w:highlight w:val="none"/>
        </w:rPr>
        <w:t>github</w:t>
      </w:r>
      <w:r>
        <w:rPr>
          <w:rFonts w:hint="eastAsia" w:ascii="宋体" w:hAnsi="宋体" w:cs="宋体"/>
          <w:color w:val="auto"/>
          <w:sz w:val="24"/>
          <w:highlight w:val="none"/>
        </w:rPr>
        <w:t>等平台公布代码。</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1）从本机关闭不需要的端口（如：关闭</w:t>
      </w:r>
      <w:r>
        <w:rPr>
          <w:rFonts w:hint="eastAsia" w:ascii="宋体" w:hAnsi="宋体" w:cs="宋体"/>
          <w:b/>
          <w:bCs/>
          <w:color w:val="auto"/>
          <w:sz w:val="24"/>
          <w:highlight w:val="none"/>
        </w:rPr>
        <w:t>windows netbios</w:t>
      </w:r>
      <w:r>
        <w:rPr>
          <w:rFonts w:hint="eastAsia" w:ascii="宋体" w:hAnsi="宋体" w:cs="宋体"/>
          <w:color w:val="auto"/>
          <w:sz w:val="24"/>
          <w:highlight w:val="none"/>
        </w:rPr>
        <w:t>等服务），设置本机防火墙（如</w:t>
      </w:r>
      <w:r>
        <w:rPr>
          <w:rFonts w:hint="eastAsia" w:ascii="宋体" w:hAnsi="宋体" w:cs="宋体"/>
          <w:b/>
          <w:bCs/>
          <w:color w:val="auto"/>
          <w:sz w:val="24"/>
          <w:highlight w:val="none"/>
        </w:rPr>
        <w:t>iptable</w:t>
      </w:r>
      <w:r>
        <w:rPr>
          <w:rFonts w:hint="eastAsia" w:ascii="宋体" w:hAnsi="宋体" w:cs="宋体"/>
          <w:color w:val="auto"/>
          <w:sz w:val="24"/>
          <w:highlight w:val="none"/>
        </w:rPr>
        <w:t>）对访问的源地址进行限制，相关服务设置类似</w:t>
      </w:r>
      <w:r>
        <w:rPr>
          <w:rFonts w:hint="eastAsia" w:ascii="宋体" w:hAnsi="宋体" w:cs="宋体"/>
          <w:b/>
          <w:bCs/>
          <w:color w:val="auto"/>
          <w:sz w:val="24"/>
          <w:highlight w:val="none"/>
        </w:rPr>
        <w:t>host.allow</w:t>
      </w:r>
      <w:r>
        <w:rPr>
          <w:rFonts w:hint="eastAsia" w:ascii="宋体" w:hAnsi="宋体" w:cs="宋体"/>
          <w:color w:val="auto"/>
          <w:sz w:val="24"/>
          <w:highlight w:val="none"/>
        </w:rPr>
        <w:t>和</w:t>
      </w:r>
      <w:r>
        <w:rPr>
          <w:rFonts w:hint="eastAsia" w:ascii="宋体" w:hAnsi="宋体" w:cs="宋体"/>
          <w:b/>
          <w:bCs/>
          <w:color w:val="auto"/>
          <w:sz w:val="24"/>
          <w:highlight w:val="none"/>
        </w:rPr>
        <w:t>host.deny</w:t>
      </w:r>
      <w:r>
        <w:rPr>
          <w:rFonts w:hint="eastAsia" w:ascii="宋体" w:hAnsi="宋体" w:cs="宋体"/>
          <w:color w:val="auto"/>
          <w:sz w:val="24"/>
          <w:highlight w:val="none"/>
        </w:rPr>
        <w:t>等策略；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2）须按照标准端口配置服务，严禁自行设置非标服务端口。</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（4）数据库配置要求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1）数据库和应用系统如在同一台服务器，须采用本机回路进行访问，如前端及数据库分为不同服务器，须设置本机防火墙访问规则，禁止非前端服务器访问数据库网络端口；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2）使用最低权限的数据库用户作为</w:t>
      </w:r>
      <w:r>
        <w:rPr>
          <w:rFonts w:hint="eastAsia" w:ascii="宋体" w:hAnsi="宋体" w:cs="宋体"/>
          <w:b/>
          <w:bCs/>
          <w:color w:val="auto"/>
          <w:sz w:val="24"/>
          <w:highlight w:val="none"/>
        </w:rPr>
        <w:t>Web</w:t>
      </w:r>
      <w:r>
        <w:rPr>
          <w:rFonts w:hint="eastAsia" w:ascii="宋体" w:hAnsi="宋体" w:cs="宋体"/>
          <w:color w:val="auto"/>
          <w:sz w:val="24"/>
          <w:highlight w:val="none"/>
        </w:rPr>
        <w:t>应用所需，禁止具有不必要的额外权限。</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（5）开发要求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1）对用户输入进行严格有效过滤，防止</w:t>
      </w:r>
      <w:r>
        <w:rPr>
          <w:rFonts w:hint="eastAsia" w:ascii="宋体" w:hAnsi="宋体" w:cs="宋体"/>
          <w:b/>
          <w:bCs/>
          <w:color w:val="auto"/>
          <w:sz w:val="24"/>
          <w:highlight w:val="none"/>
        </w:rPr>
        <w:t>sql</w:t>
      </w:r>
      <w:r>
        <w:rPr>
          <w:rFonts w:hint="eastAsia" w:ascii="宋体" w:hAnsi="宋体" w:cs="宋体"/>
          <w:color w:val="auto"/>
          <w:sz w:val="24"/>
          <w:highlight w:val="none"/>
        </w:rPr>
        <w:t>注入、</w:t>
      </w:r>
      <w:r>
        <w:rPr>
          <w:rFonts w:hint="eastAsia" w:ascii="宋体" w:hAnsi="宋体" w:cs="宋体"/>
          <w:b/>
          <w:bCs/>
          <w:color w:val="auto"/>
          <w:sz w:val="24"/>
          <w:highlight w:val="none"/>
        </w:rPr>
        <w:t>xss</w:t>
      </w:r>
      <w:r>
        <w:rPr>
          <w:rFonts w:hint="eastAsia" w:ascii="宋体" w:hAnsi="宋体" w:cs="宋体"/>
          <w:color w:val="auto"/>
          <w:sz w:val="24"/>
          <w:highlight w:val="none"/>
        </w:rPr>
        <w:t>跨站脚本、命令执行，</w:t>
      </w:r>
      <w:r>
        <w:rPr>
          <w:rFonts w:hint="eastAsia" w:ascii="宋体" w:hAnsi="宋体" w:cs="宋体"/>
          <w:b/>
          <w:bCs/>
          <w:color w:val="auto"/>
          <w:sz w:val="24"/>
          <w:highlight w:val="none"/>
        </w:rPr>
        <w:t>crsf</w:t>
      </w:r>
      <w:r>
        <w:rPr>
          <w:rFonts w:hint="eastAsia" w:ascii="宋体" w:hAnsi="宋体" w:cs="宋体"/>
          <w:color w:val="auto"/>
          <w:sz w:val="24"/>
          <w:highlight w:val="none"/>
        </w:rPr>
        <w:t>跨站请求伪造等，建议采用白名单过滤策略；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2）禁止在</w:t>
      </w:r>
      <w:r>
        <w:rPr>
          <w:rFonts w:hint="eastAsia" w:ascii="宋体" w:hAnsi="宋体" w:cs="宋体"/>
          <w:b/>
          <w:bCs/>
          <w:color w:val="auto"/>
          <w:sz w:val="24"/>
          <w:highlight w:val="none"/>
        </w:rPr>
        <w:t>HTTP</w:t>
      </w:r>
      <w:r>
        <w:rPr>
          <w:rFonts w:hint="eastAsia" w:ascii="宋体" w:hAnsi="宋体" w:cs="宋体"/>
          <w:color w:val="auto"/>
          <w:sz w:val="24"/>
          <w:highlight w:val="none"/>
        </w:rPr>
        <w:t>请求中以明文或可逆编码（如</w:t>
      </w:r>
      <w:r>
        <w:rPr>
          <w:rFonts w:hint="eastAsia" w:ascii="宋体" w:hAnsi="宋体" w:cs="宋体"/>
          <w:b/>
          <w:bCs/>
          <w:color w:val="auto"/>
          <w:sz w:val="24"/>
          <w:highlight w:val="none"/>
        </w:rPr>
        <w:t>base64、url</w:t>
      </w:r>
      <w:r>
        <w:rPr>
          <w:rFonts w:hint="eastAsia" w:ascii="宋体" w:hAnsi="宋体" w:cs="宋体"/>
          <w:color w:val="auto"/>
          <w:sz w:val="24"/>
          <w:highlight w:val="none"/>
        </w:rPr>
        <w:t>编码等）的形式传递</w:t>
      </w:r>
      <w:r>
        <w:rPr>
          <w:rFonts w:hint="eastAsia" w:ascii="宋体" w:hAnsi="宋体" w:cs="宋体"/>
          <w:b/>
          <w:bCs/>
          <w:color w:val="auto"/>
          <w:sz w:val="24"/>
          <w:highlight w:val="none"/>
        </w:rPr>
        <w:t>SQL</w:t>
      </w:r>
      <w:r>
        <w:rPr>
          <w:rFonts w:hint="eastAsia" w:ascii="宋体" w:hAnsi="宋体" w:cs="宋体"/>
          <w:color w:val="auto"/>
          <w:sz w:val="24"/>
          <w:highlight w:val="none"/>
        </w:rPr>
        <w:t>语句到后端程序代入执行，禁止由</w:t>
      </w:r>
      <w:r>
        <w:rPr>
          <w:rFonts w:hint="eastAsia" w:ascii="宋体" w:hAnsi="宋体" w:cs="宋体"/>
          <w:b/>
          <w:bCs/>
          <w:color w:val="auto"/>
          <w:sz w:val="24"/>
          <w:highlight w:val="none"/>
        </w:rPr>
        <w:t>Web</w:t>
      </w:r>
      <w:r>
        <w:rPr>
          <w:rFonts w:hint="eastAsia" w:ascii="宋体" w:hAnsi="宋体" w:cs="宋体"/>
          <w:color w:val="auto"/>
          <w:sz w:val="24"/>
          <w:highlight w:val="none"/>
        </w:rPr>
        <w:t>前端直接生成和传递</w:t>
      </w:r>
      <w:r>
        <w:rPr>
          <w:rFonts w:hint="eastAsia" w:ascii="宋体" w:hAnsi="宋体" w:cs="宋体"/>
          <w:b/>
          <w:bCs/>
          <w:color w:val="auto"/>
          <w:sz w:val="24"/>
          <w:highlight w:val="none"/>
        </w:rPr>
        <w:t>SQL</w:t>
      </w:r>
      <w:r>
        <w:rPr>
          <w:rFonts w:hint="eastAsia" w:ascii="宋体" w:hAnsi="宋体" w:cs="宋体"/>
          <w:color w:val="auto"/>
          <w:sz w:val="24"/>
          <w:highlight w:val="none"/>
        </w:rPr>
        <w:t>语句到数据库进行执行，数据库查询必须采用预编译和参数结构化查询。如果程序确实需要将</w:t>
      </w:r>
      <w:r>
        <w:rPr>
          <w:rFonts w:hint="eastAsia" w:ascii="宋体" w:hAnsi="宋体" w:cs="宋体"/>
          <w:b/>
          <w:bCs/>
          <w:color w:val="auto"/>
          <w:sz w:val="24"/>
          <w:highlight w:val="none"/>
        </w:rPr>
        <w:t>SQL</w:t>
      </w:r>
      <w:r>
        <w:rPr>
          <w:rFonts w:hint="eastAsia" w:ascii="宋体" w:hAnsi="宋体" w:cs="宋体"/>
          <w:color w:val="auto"/>
          <w:sz w:val="24"/>
          <w:highlight w:val="none"/>
        </w:rPr>
        <w:t>语句作为内容（非可执行代码的形式，如学生毕业设计、代码样例等）到后台，请在项目上线交付前书面说明相应的功能代码及位置；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3）控制上传点，对于上传文件类型进行严格控制（禁止用</w:t>
      </w:r>
      <w:r>
        <w:rPr>
          <w:rFonts w:hint="eastAsia" w:ascii="宋体" w:hAnsi="宋体" w:cs="宋体"/>
          <w:b/>
          <w:bCs/>
          <w:color w:val="auto"/>
          <w:sz w:val="24"/>
          <w:highlight w:val="none"/>
        </w:rPr>
        <w:t>js</w:t>
      </w:r>
      <w:r>
        <w:rPr>
          <w:rFonts w:hint="eastAsia" w:ascii="宋体" w:hAnsi="宋体" w:cs="宋体"/>
          <w:color w:val="auto"/>
          <w:sz w:val="24"/>
          <w:highlight w:val="none"/>
        </w:rPr>
        <w:t>进行控制），上传目录不能有执行权限，原则上不允许有未经登录验证的上传点；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4）设置有效的身份认证、会话管理及访问控制机制，防止越权、平行权限及提权等（禁止利用</w:t>
      </w:r>
      <w:r>
        <w:rPr>
          <w:rFonts w:hint="eastAsia" w:ascii="宋体" w:hAnsi="宋体" w:cs="宋体"/>
          <w:b/>
          <w:bCs/>
          <w:color w:val="auto"/>
          <w:sz w:val="24"/>
          <w:highlight w:val="none"/>
        </w:rPr>
        <w:t>js</w:t>
      </w:r>
      <w:r>
        <w:rPr>
          <w:rFonts w:hint="eastAsia" w:ascii="宋体" w:hAnsi="宋体" w:cs="宋体"/>
          <w:color w:val="auto"/>
          <w:sz w:val="24"/>
          <w:highlight w:val="none"/>
        </w:rPr>
        <w:t>进行控制及验证）。</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（6）密码复杂度要求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rFonts w:hint="eastAsia" w:ascii="宋体" w:hAnsi="宋体" w:cs="宋体"/>
          <w:b/>
          <w:bCs/>
          <w:color w:val="auto"/>
          <w:sz w:val="24"/>
          <w:highlight w:val="none"/>
        </w:rPr>
        <w:t>salt</w:t>
      </w:r>
      <w:r>
        <w:rPr>
          <w:rFonts w:hint="eastAsia" w:ascii="宋体" w:hAnsi="宋体" w:cs="宋体"/>
          <w:color w:val="auto"/>
          <w:sz w:val="24"/>
          <w:highlight w:val="none"/>
        </w:rPr>
        <w:t>的哈希之后入库。对于多次错误登录进行封堵。如果长期不登录默认账号应停用处理。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（7）数据保护要求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对于身份信息、单位职务、财务信息、健康信息、通讯信息等敏感信息禁止在数据库中明文存放。</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（8）系统安全评测和等保评测要求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为配合系统安全评测及等级保护定级和评测的相关要求，须提供如下系统信息：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1）操作系统版本、补丁情况；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2）开放的网络端口及用途；</w:t>
      </w:r>
    </w:p>
    <w:p>
      <w:pPr>
        <w:spacing w:line="360" w:lineRule="auto"/>
        <w:ind w:firstLine="480" w:firstLineChars="200"/>
        <w:rPr>
          <w:color w:val="auto"/>
          <w:sz w:val="24"/>
          <w:highlight w:val="none"/>
        </w:rPr>
      </w:pPr>
      <w:r>
        <w:rPr>
          <w:rFonts w:hint="eastAsia" w:ascii="宋体" w:hAnsi="宋体" w:cs="宋体"/>
          <w:color w:val="auto"/>
          <w:sz w:val="24"/>
          <w:highlight w:val="none"/>
        </w:rPr>
        <w:t>3）所有第三方中间件、开发包、数据库、服务版本及管理地址。如：</w:t>
      </w:r>
      <w:r>
        <w:rPr>
          <w:rFonts w:hint="eastAsia" w:ascii="宋体" w:hAnsi="宋体" w:cs="宋体"/>
          <w:b/>
          <w:bCs/>
          <w:color w:val="auto"/>
          <w:sz w:val="24"/>
          <w:highlight w:val="none"/>
        </w:rPr>
        <w:t>tomcat</w:t>
      </w:r>
      <w:r>
        <w:rPr>
          <w:rFonts w:hint="eastAsia" w:ascii="宋体" w:hAnsi="宋体" w:cs="宋体"/>
          <w:b/>
          <w:bCs/>
          <w:i/>
          <w:iCs/>
          <w:color w:val="auto"/>
          <w:sz w:val="24"/>
          <w:highlight w:val="none"/>
        </w:rPr>
        <w:t xml:space="preserve"> </w:t>
      </w:r>
      <w:r>
        <w:rPr>
          <w:rFonts w:hint="eastAsia" w:ascii="宋体" w:hAnsi="宋体" w:cs="宋体"/>
          <w:color w:val="auto"/>
          <w:sz w:val="24"/>
          <w:highlight w:val="none"/>
        </w:rPr>
        <w:t>8.0、</w:t>
      </w:r>
      <w:r>
        <w:rPr>
          <w:rFonts w:hint="eastAsia" w:ascii="宋体" w:hAnsi="宋体" w:cs="宋体"/>
          <w:b/>
          <w:bCs/>
          <w:color w:val="auto"/>
          <w:sz w:val="24"/>
          <w:highlight w:val="none"/>
        </w:rPr>
        <w:t xml:space="preserve">apache </w:t>
      </w:r>
      <w:r>
        <w:rPr>
          <w:rFonts w:hint="eastAsia" w:ascii="宋体" w:hAnsi="宋体" w:cs="宋体"/>
          <w:color w:val="auto"/>
          <w:sz w:val="24"/>
          <w:highlight w:val="none"/>
        </w:rPr>
        <w:t>2.4.2 、</w:t>
      </w:r>
      <w:r>
        <w:rPr>
          <w:rFonts w:hint="eastAsia" w:ascii="宋体" w:hAnsi="宋体" w:cs="宋体"/>
          <w:b/>
          <w:bCs/>
          <w:color w:val="auto"/>
          <w:sz w:val="24"/>
          <w:highlight w:val="none"/>
        </w:rPr>
        <w:t xml:space="preserve">jquery </w:t>
      </w:r>
      <w:r>
        <w:rPr>
          <w:rFonts w:hint="eastAsia" w:ascii="宋体" w:hAnsi="宋体" w:cs="宋体"/>
          <w:color w:val="auto"/>
          <w:sz w:val="24"/>
          <w:highlight w:val="none"/>
        </w:rPr>
        <w:t>3.1.0、</w:t>
      </w:r>
      <w:r>
        <w:rPr>
          <w:rFonts w:hint="eastAsia" w:ascii="宋体" w:hAnsi="宋体" w:cs="宋体"/>
          <w:b/>
          <w:bCs/>
          <w:color w:val="auto"/>
          <w:sz w:val="24"/>
          <w:highlight w:val="none"/>
        </w:rPr>
        <w:t xml:space="preserve">mysql </w:t>
      </w:r>
      <w:r>
        <w:rPr>
          <w:rFonts w:hint="eastAsia" w:ascii="宋体" w:hAnsi="宋体" w:cs="宋体"/>
          <w:color w:val="auto"/>
          <w:sz w:val="24"/>
          <w:highlight w:val="none"/>
        </w:rPr>
        <w:t>5.0</w:t>
      </w:r>
      <w:r>
        <w:rPr>
          <w:rFonts w:hint="eastAsia"/>
          <w:color w:val="auto"/>
          <w:sz w:val="24"/>
          <w:highlight w:val="none"/>
        </w:rPr>
        <w:t>等；</w:t>
      </w:r>
    </w:p>
    <w:p>
      <w:pPr>
        <w:spacing w:line="360" w:lineRule="auto"/>
        <w:ind w:firstLine="480" w:firstLineChars="200"/>
        <w:rPr>
          <w:color w:val="auto"/>
          <w:sz w:val="24"/>
          <w:highlight w:val="none"/>
        </w:rPr>
      </w:pPr>
      <w:r>
        <w:rPr>
          <w:rFonts w:hint="eastAsia"/>
          <w:color w:val="auto"/>
          <w:sz w:val="24"/>
          <w:highlight w:val="none"/>
        </w:rPr>
        <w:t>4）系统的用户登录路径、登录用户名和密码（必须为复杂密码，评测后更改），系统密码的设置策略（是否满足（6）关于密码复杂度的要求）；</w:t>
      </w:r>
    </w:p>
    <w:p>
      <w:pPr>
        <w:spacing w:line="360" w:lineRule="auto"/>
        <w:ind w:firstLine="480" w:firstLineChars="200"/>
        <w:rPr>
          <w:color w:val="auto"/>
          <w:sz w:val="24"/>
          <w:highlight w:val="none"/>
        </w:rPr>
      </w:pPr>
      <w:r>
        <w:rPr>
          <w:rFonts w:hint="eastAsia"/>
          <w:color w:val="auto"/>
          <w:sz w:val="24"/>
          <w:highlight w:val="none"/>
        </w:rPr>
        <w:t>5）系统访问路径和系统管理端路径。</w:t>
      </w:r>
    </w:p>
    <w:p>
      <w:pPr>
        <w:spacing w:line="360" w:lineRule="auto"/>
        <w:rPr>
          <w:rFonts w:ascii="宋体" w:hAnsi="宋体" w:cs="宋体"/>
          <w:color w:val="auto"/>
          <w:sz w:val="24"/>
          <w:highlight w:val="none"/>
        </w:rPr>
      </w:pPr>
      <w:bookmarkStart w:id="22" w:name="_Toc18023"/>
      <w:r>
        <w:rPr>
          <w:rFonts w:hint="eastAsia" w:ascii="宋体" w:hAnsi="宋体" w:cs="宋体"/>
          <w:color w:val="auto"/>
          <w:sz w:val="24"/>
          <w:highlight w:val="none"/>
        </w:rPr>
        <w:t>4、对系统部署方式的要求</w:t>
      </w:r>
      <w:bookmarkEnd w:id="22"/>
    </w:p>
    <w:p>
      <w:pPr>
        <w:spacing w:line="360" w:lineRule="auto"/>
        <w:ind w:firstLine="480" w:firstLineChars="200"/>
        <w:rPr>
          <w:color w:val="auto"/>
          <w:sz w:val="24"/>
          <w:highlight w:val="none"/>
        </w:rPr>
      </w:pPr>
      <w:r>
        <w:rPr>
          <w:rFonts w:hint="eastAsia"/>
          <w:color w:val="auto"/>
          <w:sz w:val="24"/>
          <w:highlight w:val="none"/>
        </w:rPr>
        <w:t>系统部署应充分考虑到哈尔滨工业大学现有信息化总体框架以及对未来发展的适应性，要求系统支持单机部署、双机部署、集群部署以及云平台部署的相关要求，并支持负载均衡。</w:t>
      </w:r>
    </w:p>
    <w:p>
      <w:pPr>
        <w:spacing w:line="360" w:lineRule="auto"/>
        <w:ind w:firstLine="480" w:firstLineChars="200"/>
        <w:rPr>
          <w:color w:val="auto"/>
          <w:sz w:val="24"/>
          <w:highlight w:val="none"/>
        </w:rPr>
      </w:pPr>
      <w:r>
        <w:rPr>
          <w:rFonts w:hint="eastAsia"/>
          <w:color w:val="auto"/>
          <w:sz w:val="24"/>
          <w:highlight w:val="none"/>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spacing w:line="360" w:lineRule="auto"/>
        <w:rPr>
          <w:rFonts w:ascii="宋体" w:hAnsi="宋体" w:cs="宋体"/>
          <w:color w:val="auto"/>
          <w:sz w:val="24"/>
          <w:highlight w:val="none"/>
        </w:rPr>
      </w:pPr>
      <w:bookmarkStart w:id="23" w:name="_Toc3401"/>
      <w:r>
        <w:rPr>
          <w:rFonts w:hint="eastAsia" w:ascii="宋体" w:hAnsi="宋体" w:cs="宋体"/>
          <w:color w:val="auto"/>
          <w:sz w:val="24"/>
          <w:highlight w:val="none"/>
        </w:rPr>
        <w:t>5、对相关文档和交付物的要求</w:t>
      </w:r>
      <w:bookmarkEnd w:id="23"/>
    </w:p>
    <w:p>
      <w:pPr>
        <w:spacing w:line="360" w:lineRule="auto"/>
        <w:ind w:firstLine="480" w:firstLineChars="200"/>
        <w:rPr>
          <w:color w:val="auto"/>
          <w:sz w:val="24"/>
          <w:highlight w:val="none"/>
        </w:rPr>
      </w:pPr>
      <w:r>
        <w:rPr>
          <w:rFonts w:hint="eastAsia"/>
          <w:color w:val="auto"/>
          <w:sz w:val="24"/>
          <w:highlight w:val="none"/>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color w:val="auto"/>
          <w:sz w:val="24"/>
          <w:highlight w:val="none"/>
        </w:rPr>
      </w:pPr>
      <w:r>
        <w:rPr>
          <w:rFonts w:hint="eastAsia"/>
          <w:color w:val="auto"/>
          <w:sz w:val="24"/>
          <w:highlight w:val="none"/>
        </w:rPr>
        <w:t>本项目交付成果（参见项目建设内容）。</w:t>
      </w:r>
    </w:p>
    <w:p>
      <w:pPr>
        <w:spacing w:line="360" w:lineRule="auto"/>
        <w:ind w:firstLine="480" w:firstLineChars="200"/>
        <w:rPr>
          <w:color w:val="auto"/>
          <w:sz w:val="24"/>
          <w:highlight w:val="none"/>
        </w:rPr>
      </w:pPr>
      <w:r>
        <w:rPr>
          <w:rFonts w:hint="eastAsia"/>
          <w:color w:val="auto"/>
          <w:sz w:val="24"/>
          <w:highlight w:val="none"/>
        </w:rPr>
        <w:t>提供的文档资料包括：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（1）《项目实施计划》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（2）《项目实施计划变更协议》（如果有变更）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（3）《需求说明书》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（4）《需求变更协议》（如果有变更）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（5）《上线试运行确认单》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（6）《系统技术文档》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（7）《系统管理员手册》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（8）《用户手册》</w:t>
      </w:r>
    </w:p>
    <w:p>
      <w:pPr>
        <w:spacing w:line="360" w:lineRule="auto"/>
        <w:ind w:firstLine="480" w:firstLineChars="200"/>
        <w:rPr>
          <w:color w:val="auto"/>
          <w:sz w:val="24"/>
          <w:highlight w:val="none"/>
        </w:rPr>
      </w:pPr>
      <w:r>
        <w:rPr>
          <w:rFonts w:hint="eastAsia" w:ascii="宋体" w:hAnsi="宋体" w:cs="宋体"/>
          <w:color w:val="auto"/>
          <w:sz w:val="24"/>
          <w:highlight w:val="none"/>
        </w:rPr>
        <w:t>乙方按哈尔滨工业大学档案馆归档要求，完成项目归档工作。</w:t>
      </w:r>
    </w:p>
    <w:p>
      <w:pPr>
        <w:pStyle w:val="5"/>
        <w:spacing w:line="360" w:lineRule="auto"/>
        <w:rPr>
          <w:color w:val="auto"/>
          <w:sz w:val="24"/>
          <w:szCs w:val="24"/>
          <w:highlight w:val="none"/>
        </w:rPr>
      </w:pPr>
      <w:bookmarkStart w:id="24" w:name="_Toc9104"/>
      <w:r>
        <w:rPr>
          <w:rFonts w:hint="eastAsia"/>
          <w:color w:val="auto"/>
          <w:sz w:val="24"/>
          <w:szCs w:val="24"/>
          <w:highlight w:val="none"/>
        </w:rPr>
        <w:t>五、技术情报和资料的保密要求</w:t>
      </w:r>
      <w:bookmarkEnd w:id="24"/>
      <w:r>
        <w:rPr>
          <w:rFonts w:hint="eastAsia"/>
          <w:color w:val="auto"/>
          <w:sz w:val="24"/>
          <w:szCs w:val="24"/>
          <w:highlight w:val="none"/>
        </w:rPr>
        <w:t xml:space="preserve"> </w:t>
      </w:r>
    </w:p>
    <w:p>
      <w:pPr>
        <w:spacing w:line="360" w:lineRule="auto"/>
        <w:ind w:firstLine="480" w:firstLineChars="200"/>
        <w:rPr>
          <w:color w:val="auto"/>
          <w:sz w:val="24"/>
          <w:highlight w:val="none"/>
        </w:rPr>
      </w:pPr>
      <w:r>
        <w:rPr>
          <w:rFonts w:hint="eastAsia"/>
          <w:color w:val="auto"/>
          <w:sz w:val="24"/>
          <w:highlight w:val="none"/>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firstLineChars="200"/>
        <w:rPr>
          <w:color w:val="auto"/>
          <w:sz w:val="24"/>
          <w:highlight w:val="none"/>
        </w:rPr>
      </w:pPr>
      <w:r>
        <w:rPr>
          <w:rFonts w:hint="eastAsia"/>
          <w:color w:val="auto"/>
          <w:sz w:val="24"/>
          <w:highlight w:val="none"/>
        </w:rPr>
        <w:t>不论本合同是否变更、解除、终止，本条款长期有效。</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第二包：</w:t>
      </w:r>
    </w:p>
    <w:p>
      <w:pPr>
        <w:pStyle w:val="5"/>
        <w:spacing w:line="360" w:lineRule="auto"/>
        <w:rPr>
          <w:color w:val="auto"/>
          <w:sz w:val="24"/>
          <w:szCs w:val="24"/>
          <w:highlight w:val="none"/>
        </w:rPr>
      </w:pPr>
      <w:bookmarkStart w:id="25" w:name="_Toc63440715"/>
      <w:r>
        <w:rPr>
          <w:rFonts w:hint="eastAsia"/>
          <w:color w:val="auto"/>
          <w:sz w:val="24"/>
          <w:szCs w:val="24"/>
          <w:highlight w:val="none"/>
        </w:rPr>
        <w:t>一、项目概况</w:t>
      </w:r>
      <w:bookmarkEnd w:id="25"/>
    </w:p>
    <w:p>
      <w:pPr>
        <w:pStyle w:val="6"/>
        <w:rPr>
          <w:color w:val="auto"/>
          <w:sz w:val="24"/>
          <w:szCs w:val="24"/>
          <w:highlight w:val="none"/>
          <w:lang w:val="sq-AL"/>
        </w:rPr>
      </w:pPr>
      <w:bookmarkStart w:id="26" w:name="_Toc63440716"/>
      <w:r>
        <w:rPr>
          <w:rFonts w:hint="eastAsia"/>
          <w:color w:val="auto"/>
          <w:sz w:val="24"/>
          <w:szCs w:val="24"/>
          <w:highlight w:val="none"/>
        </w:rPr>
        <w:t>1</w:t>
      </w:r>
      <w:r>
        <w:rPr>
          <w:rFonts w:hint="eastAsia"/>
          <w:color w:val="auto"/>
          <w:sz w:val="24"/>
          <w:szCs w:val="24"/>
          <w:highlight w:val="none"/>
          <w:lang w:val="sq-AL"/>
        </w:rPr>
        <w:t>、建设目标</w:t>
      </w:r>
      <w:bookmarkEnd w:id="26"/>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校大部分业务系统和服务开始建设时学校尚未形成统一信息标准和建设规范，各个厂商采用的数据定义、代码集、计量单位、表达格式、编码方式等均自成一体，前期各系统独立运行的情况下，这种情况并未构成明显的影响。但是，智慧校园却要求实现大数据视角下的全维度数据分析和个性化服务，因此需要将各种来源、各种维度的数据汇总到一起进行全局分析。此时，数据之间的标准、规范的不统一，就使得大量的数据处于游离、孤岛的状态，难以实现关联汇总和大数据分析，难以发挥数据应有的价值。</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信息标准的建设是保障哈尔滨工业大学数据的内外部使用和交换的一致性和准确性的规范性约束，也是哈尔滨工业大学后期开展数据治理工作的基础，有利于帮助我校打通数据底层的互通性，提升数据的可用性。</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通过本项目的建设，为学校输出一套校级信息标准，包含代码信息标准和数据信息标准</w:t>
      </w:r>
      <w:bookmarkStart w:id="27" w:name="_Hlk58845928"/>
      <w:r>
        <w:rPr>
          <w:rFonts w:hint="eastAsia" w:ascii="宋体" w:hAnsi="宋体"/>
          <w:color w:val="auto"/>
          <w:sz w:val="24"/>
          <w:highlight w:val="none"/>
        </w:rPr>
        <w:t>，同时协助学校完成信息交换标准与管理规范、主数据管理规范、数据资产管理规范、信息化数据管理办法的输出。</w:t>
      </w:r>
    </w:p>
    <w:bookmarkEnd w:id="27"/>
    <w:p>
      <w:pPr>
        <w:pStyle w:val="6"/>
        <w:rPr>
          <w:color w:val="auto"/>
          <w:sz w:val="24"/>
          <w:szCs w:val="24"/>
          <w:highlight w:val="none"/>
          <w:lang w:val="sq-AL"/>
        </w:rPr>
      </w:pPr>
      <w:bookmarkStart w:id="28" w:name="_Toc63440717"/>
      <w:r>
        <w:rPr>
          <w:rFonts w:hint="eastAsia"/>
          <w:color w:val="auto"/>
          <w:sz w:val="24"/>
          <w:szCs w:val="24"/>
          <w:highlight w:val="none"/>
        </w:rPr>
        <w:t>2</w:t>
      </w:r>
      <w:r>
        <w:rPr>
          <w:rFonts w:hint="eastAsia"/>
          <w:color w:val="auto"/>
          <w:sz w:val="24"/>
          <w:szCs w:val="24"/>
          <w:highlight w:val="none"/>
          <w:lang w:val="sq-AL"/>
        </w:rPr>
        <w:t>、预期的建设效果</w:t>
      </w:r>
      <w:bookmarkEnd w:id="28"/>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准对于哈尔滨工业大学后续理清数据资产、约束业务系统合规建设、规范标准数仓建设、提升数据质量、打通数据孤岛、加快数据流通、释放数据价值有着至关重要的作用。学校信息化建设要充分发挥标准化的导向作用，以确保技术上的协调一致和整体效能的实现，标准建设不断完善和持续优化，将从根本上助力发挥标准的指导、协调和优化作用。</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信息标准的建设可以为哈尔滨工业大学后续在业务支撑、技术服务和管理保障方面带来相应的改善，具体如下</w:t>
      </w:r>
      <w:bookmarkStart w:id="29" w:name="_Hlk63522787"/>
      <w:r>
        <w:rPr>
          <w:rFonts w:hint="eastAsia" w:ascii="宋体" w:hAnsi="宋体"/>
          <w:color w:val="auto"/>
          <w:sz w:val="24"/>
          <w:highlight w:val="none"/>
        </w:rPr>
        <w:t>：</w:t>
      </w:r>
    </w:p>
    <w:p>
      <w:pPr>
        <w:adjustRightInd w:val="0"/>
        <w:snapToGrid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业务支撑方面：</w:t>
      </w:r>
      <w:r>
        <w:rPr>
          <w:rFonts w:hint="eastAsia" w:ascii="宋体" w:hAnsi="宋体"/>
          <w:color w:val="auto"/>
          <w:sz w:val="24"/>
          <w:highlight w:val="none"/>
        </w:rPr>
        <w:t>通过对实体数据的标准化定义，能够为哈尔滨工业大学解决数据不一致、不完整、不准确等问题，消除数据的二义性，使得数据在全校有一个全局的定义，减少了各部门、各系统的沟通成本，提升全校业务处理的效率；标准统一的数据指标体系，让业务人员也能够轻松获取数据，并能够自助式的进行数据分析，为基于数据的业务创新提供可能。</w:t>
      </w:r>
    </w:p>
    <w:p>
      <w:pPr>
        <w:adjustRightInd w:val="0"/>
        <w:snapToGrid w:val="0"/>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技术服务方面：</w:t>
      </w:r>
      <w:r>
        <w:rPr>
          <w:rFonts w:hint="eastAsia" w:ascii="宋体" w:hAnsi="宋体"/>
          <w:color w:val="auto"/>
          <w:sz w:val="24"/>
          <w:highlight w:val="none"/>
        </w:rPr>
        <w:t>统一、标准的数据及数据结构是全校信息共享的基础；标准的数据模型和标准数据字段为新建系统提供指导，能够提升应用系统的开发实施效率；为后续提升数据质量、厘清数据构成、打通数据孤岛、加快数据流通、释放数据价值有着至关重要的作用。</w:t>
      </w:r>
    </w:p>
    <w:p>
      <w:pPr>
        <w:adjustRightInd w:val="0"/>
        <w:snapToGrid w:val="0"/>
        <w:spacing w:line="360" w:lineRule="auto"/>
        <w:ind w:firstLine="420"/>
        <w:rPr>
          <w:color w:val="auto"/>
          <w:highlight w:val="none"/>
        </w:rPr>
      </w:pPr>
      <w:r>
        <w:rPr>
          <w:rFonts w:hint="eastAsia" w:ascii="宋体" w:hAnsi="宋体"/>
          <w:b/>
          <w:bCs/>
          <w:color w:val="auto"/>
          <w:sz w:val="24"/>
          <w:highlight w:val="none"/>
        </w:rPr>
        <w:t>管理保障方面：</w:t>
      </w:r>
      <w:r>
        <w:rPr>
          <w:rFonts w:hint="eastAsia" w:ascii="宋体" w:hAnsi="宋体"/>
          <w:color w:val="auto"/>
          <w:sz w:val="24"/>
          <w:highlight w:val="none"/>
        </w:rPr>
        <w:t>通过数据的标准化定义，明确数据的责任主体，为数据安全、数据质量提供保障；统一、标准的数据指标体系为各主题的数据分析提供支持，提升数据处理和分析效率，是实现数据驱动管理，分析支撑决策的先决条件。</w:t>
      </w:r>
      <w:bookmarkEnd w:id="29"/>
    </w:p>
    <w:p>
      <w:pPr>
        <w:pStyle w:val="5"/>
        <w:spacing w:line="360" w:lineRule="auto"/>
        <w:rPr>
          <w:color w:val="auto"/>
          <w:sz w:val="24"/>
          <w:szCs w:val="24"/>
          <w:highlight w:val="none"/>
        </w:rPr>
      </w:pPr>
      <w:bookmarkStart w:id="30" w:name="_Toc63440718"/>
      <w:r>
        <w:rPr>
          <w:rFonts w:hint="eastAsia"/>
          <w:color w:val="auto"/>
          <w:sz w:val="24"/>
          <w:szCs w:val="24"/>
          <w:highlight w:val="none"/>
        </w:rPr>
        <w:t>二、项目需求描述</w:t>
      </w:r>
      <w:bookmarkEnd w:id="30"/>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本次大数据服务平台项目信息标准建设内容需求包括：补充和制定信息标准、制定信息化管理办法和数据管理规范集。具体功能要求如下：</w:t>
      </w:r>
    </w:p>
    <w:p>
      <w:pPr>
        <w:pStyle w:val="6"/>
        <w:rPr>
          <w:color w:val="auto"/>
          <w:sz w:val="24"/>
          <w:szCs w:val="24"/>
          <w:highlight w:val="none"/>
        </w:rPr>
      </w:pPr>
      <w:bookmarkStart w:id="31" w:name="_Toc63440719"/>
      <w:r>
        <w:rPr>
          <w:rFonts w:hint="eastAsia"/>
          <w:color w:val="auto"/>
          <w:sz w:val="24"/>
          <w:szCs w:val="24"/>
          <w:highlight w:val="none"/>
        </w:rPr>
        <w:t>1.代码信息标准建设</w:t>
      </w:r>
      <w:bookmarkEnd w:id="31"/>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★（1）编制并输出《哈尔滨工业大学代码信息标准》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代码信息标准需要以</w:t>
      </w:r>
      <w:r>
        <w:rPr>
          <w:rFonts w:ascii="宋体" w:hAnsi="宋体"/>
          <w:color w:val="auto"/>
          <w:sz w:val="24"/>
          <w:highlight w:val="none"/>
        </w:rPr>
        <w:t>教育部2012年颁布的《教育管理信息教育管理基础代码》以及《哈尔滨工业大学管理信息标准（第</w:t>
      </w:r>
      <w:r>
        <w:rPr>
          <w:rFonts w:hint="eastAsia" w:ascii="宋体" w:hAnsi="宋体"/>
          <w:color w:val="auto"/>
          <w:sz w:val="24"/>
          <w:highlight w:val="none"/>
        </w:rPr>
        <w:t>二</w:t>
      </w:r>
      <w:r>
        <w:rPr>
          <w:rFonts w:ascii="宋体" w:hAnsi="宋体"/>
          <w:color w:val="auto"/>
          <w:sz w:val="24"/>
          <w:highlight w:val="none"/>
        </w:rPr>
        <w:t>版）》为主要基础制订，并结合哈尔滨工业大的具体需求进行了补充和修订。</w:t>
      </w:r>
    </w:p>
    <w:p>
      <w:pPr>
        <w:numPr>
          <w:ilvl w:val="0"/>
          <w:numId w:val="5"/>
        </w:numPr>
        <w:spacing w:line="360" w:lineRule="auto"/>
        <w:ind w:left="0" w:firstLine="480" w:firstLineChars="200"/>
        <w:rPr>
          <w:color w:val="auto"/>
          <w:sz w:val="24"/>
          <w:highlight w:val="none"/>
        </w:rPr>
      </w:pPr>
      <w:r>
        <w:rPr>
          <w:rFonts w:hint="eastAsia"/>
          <w:color w:val="auto"/>
          <w:sz w:val="24"/>
          <w:highlight w:val="none"/>
        </w:rPr>
        <w:t>承建方需在熟悉教育部</w:t>
      </w:r>
      <w:r>
        <w:rPr>
          <w:color w:val="auto"/>
          <w:sz w:val="24"/>
          <w:highlight w:val="none"/>
        </w:rPr>
        <w:t>2012年颁布的《教育管理信息教育管理基础代码》</w:t>
      </w:r>
      <w:r>
        <w:rPr>
          <w:rFonts w:hint="eastAsia"/>
          <w:color w:val="auto"/>
          <w:sz w:val="24"/>
          <w:highlight w:val="none"/>
        </w:rPr>
        <w:t>基础上仔细研究哈尔滨工业大学一校三区</w:t>
      </w:r>
      <w:r>
        <w:rPr>
          <w:color w:val="auto"/>
          <w:sz w:val="24"/>
          <w:highlight w:val="none"/>
        </w:rPr>
        <w:t>《管理信息标准（第二版）》</w:t>
      </w:r>
      <w:r>
        <w:rPr>
          <w:rFonts w:hint="eastAsia"/>
          <w:color w:val="auto"/>
          <w:sz w:val="24"/>
          <w:highlight w:val="none"/>
        </w:rPr>
        <w:t>及各业务部门职责描述文档，据此输出初版《代码信息标准》用于进行部门调研确认。</w:t>
      </w:r>
    </w:p>
    <w:p>
      <w:pPr>
        <w:numPr>
          <w:ilvl w:val="0"/>
          <w:numId w:val="5"/>
        </w:numPr>
        <w:spacing w:line="360" w:lineRule="auto"/>
        <w:ind w:left="0" w:firstLine="480" w:firstLineChars="200"/>
        <w:rPr>
          <w:color w:val="auto"/>
          <w:sz w:val="24"/>
          <w:highlight w:val="none"/>
        </w:rPr>
      </w:pPr>
      <w:r>
        <w:rPr>
          <w:rFonts w:hint="eastAsia"/>
          <w:color w:val="auto"/>
          <w:sz w:val="24"/>
          <w:highlight w:val="none"/>
        </w:rPr>
        <w:t>初版《代码信息标准》应包括标准代码和校级代码两部分，其中标准代码引自</w:t>
      </w:r>
      <w:r>
        <w:rPr>
          <w:color w:val="auto"/>
          <w:sz w:val="24"/>
          <w:highlight w:val="none"/>
        </w:rPr>
        <w:t>国家标准、教育部标准、教育行业标准；</w:t>
      </w:r>
      <w:r>
        <w:rPr>
          <w:rFonts w:hint="eastAsia"/>
          <w:color w:val="auto"/>
          <w:sz w:val="24"/>
          <w:highlight w:val="none"/>
        </w:rPr>
        <w:t>校级代码需要经过部门调研确后方可确认。</w:t>
      </w:r>
    </w:p>
    <w:p>
      <w:pPr>
        <w:numPr>
          <w:ilvl w:val="0"/>
          <w:numId w:val="5"/>
        </w:numPr>
        <w:spacing w:line="360" w:lineRule="auto"/>
        <w:ind w:left="0" w:firstLine="480" w:firstLineChars="200"/>
        <w:rPr>
          <w:color w:val="auto"/>
          <w:sz w:val="24"/>
          <w:highlight w:val="none"/>
        </w:rPr>
      </w:pPr>
      <w:r>
        <w:rPr>
          <w:rFonts w:hint="eastAsia"/>
          <w:color w:val="auto"/>
          <w:sz w:val="24"/>
          <w:highlight w:val="none"/>
        </w:rPr>
        <w:t>部门调研确认过程中需要根据各业务部门实际业务需求对初版《代码信息标准》进行补充和修订，</w:t>
      </w:r>
      <w:r>
        <w:rPr>
          <w:color w:val="auto"/>
          <w:sz w:val="24"/>
          <w:highlight w:val="none"/>
        </w:rPr>
        <w:t xml:space="preserve"> </w:t>
      </w:r>
      <w:r>
        <w:rPr>
          <w:rFonts w:hint="eastAsia"/>
          <w:color w:val="auto"/>
          <w:sz w:val="24"/>
          <w:highlight w:val="none"/>
        </w:rPr>
        <w:t>校标代码的确认即可引用部门已有业务系统使用的独有代码，也可根据部门实际业务需求对已有标准代码进行修订或补充新的代码，调研后输出终板《代码信息标准》在全校进行发布，要求各个部门执行落地。</w:t>
      </w:r>
    </w:p>
    <w:p>
      <w:pPr>
        <w:numPr>
          <w:ilvl w:val="0"/>
          <w:numId w:val="5"/>
        </w:numPr>
        <w:spacing w:line="360" w:lineRule="auto"/>
        <w:ind w:left="0" w:firstLine="480" w:firstLineChars="200"/>
        <w:rPr>
          <w:color w:val="auto"/>
          <w:sz w:val="24"/>
          <w:highlight w:val="none"/>
        </w:rPr>
      </w:pPr>
      <w:r>
        <w:rPr>
          <w:rFonts w:hint="eastAsia"/>
          <w:color w:val="auto"/>
          <w:sz w:val="24"/>
          <w:highlight w:val="none"/>
        </w:rPr>
        <w:t>承建方输出的终板《代码信息标准》要求具备完整性、兼容性、一致性及可扩展性，可保障哈尔滨工业大学一校三区各部门可共享使用一套标准代码而不出现数据描述歧义或业务管理冲突。</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（2）需参考和引用的外部标准代码，包括：</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教育管理基础代码，包括：学校管理类代码子集、学生管理类代码子集、教学管理类代码子集、教职工管理类代码子集、通用人员管理类代码子集、科研管理类代码子集、资产图书实验室管理类代码子集、财务管理类代码子集、办公与档案管理类代码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2）GB/T 14946.1-2009（人事管理信息系统指标体系与数据结构）与教育管理相关代码。</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3）行政区划、党派、学历等与教育管理相关的国家标准代码。</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4）证件、户口等与教育管理相关的行业标准代码</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5）专业、固定资产等教育部使用的学校、学科专业与资产分类代码以及其他有必要引入的外部标准。</w:t>
      </w:r>
    </w:p>
    <w:p>
      <w:pPr>
        <w:adjustRightInd w:val="0"/>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★（3）信息标准需覆盖哈尔滨工业大学一校三区全部业务部门</w:t>
      </w:r>
    </w:p>
    <w:p>
      <w:pPr>
        <w:adjustRightInd w:val="0"/>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1）哈尔滨工业大学本部全部业务部门</w:t>
      </w:r>
    </w:p>
    <w:p>
      <w:pPr>
        <w:adjustRightInd w:val="0"/>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2）哈尔滨工业大学威海校区全部业务部门</w:t>
      </w:r>
    </w:p>
    <w:p>
      <w:pPr>
        <w:adjustRightInd w:val="0"/>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3）哈尔滨工业大学深圳校区全部业务部门</w:t>
      </w:r>
    </w:p>
    <w:p>
      <w:pPr>
        <w:pStyle w:val="6"/>
        <w:rPr>
          <w:rFonts w:hAnsi="宋体" w:cs="宋体"/>
          <w:color w:val="auto"/>
          <w:sz w:val="24"/>
          <w:szCs w:val="24"/>
          <w:highlight w:val="none"/>
        </w:rPr>
      </w:pPr>
      <w:bookmarkStart w:id="32" w:name="_Toc63440720"/>
      <w:r>
        <w:rPr>
          <w:rFonts w:hint="eastAsia" w:hAnsi="宋体" w:cs="宋体"/>
          <w:color w:val="auto"/>
          <w:sz w:val="24"/>
          <w:szCs w:val="24"/>
          <w:highlight w:val="none"/>
        </w:rPr>
        <w:t>2.数据信息标准建设</w:t>
      </w:r>
      <w:bookmarkEnd w:id="32"/>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★（1）编制并输出《哈尔滨工业大学数据信息标准》</w:t>
      </w:r>
    </w:p>
    <w:p>
      <w:pPr>
        <w:adjustRightInd w:val="0"/>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数据信息标准需要以教育部2012年颁布的《教育管理信息教育管理基础信息》、《教育管理信息教育行政管理信息》、《教育管理信息高等学校管理信息》、《教育管理信息教育统计信息》等4个教育信息化相关标准以及《哈尔滨工业大学管理信息标准（第二版）》为主要基础制订，并结合哈尔滨工业大学的具体需求进行了补充和修订。</w:t>
      </w:r>
    </w:p>
    <w:p>
      <w:pPr>
        <w:numPr>
          <w:ilvl w:val="0"/>
          <w:numId w:val="5"/>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承建方需在熟悉教育部2012年颁布的《教育管理信息教育管理基础信息》、《教育管理信息教育行政管理信息》、《教育管理信息高等学校管理信息》、《教育管理信息教育统计信息》等4个教育信息化相关标准以及《哈尔滨工业大学管理信息标准（第二版）》及各业务部门职责描述文档，据此输出初版《数据信息标准》用于进行部门调研确认（数据信息标准应以数据模型的方式体现）。</w:t>
      </w:r>
    </w:p>
    <w:p>
      <w:pPr>
        <w:numPr>
          <w:ilvl w:val="0"/>
          <w:numId w:val="5"/>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输出的初版《数据信息标准》应包括通用标准和校级数据标准两部分，其中通用数据信息标准引自国家、教育部标准、教育行业标准；校级数据标准需要经过部门调研确后方可确认。</w:t>
      </w:r>
    </w:p>
    <w:p>
      <w:pPr>
        <w:numPr>
          <w:ilvl w:val="0"/>
          <w:numId w:val="5"/>
        </w:numPr>
        <w:spacing w:line="360" w:lineRule="auto"/>
        <w:ind w:left="0" w:firstLine="480" w:firstLineChars="200"/>
        <w:jc w:val="left"/>
        <w:rPr>
          <w:color w:val="auto"/>
          <w:sz w:val="24"/>
          <w:highlight w:val="none"/>
        </w:rPr>
      </w:pPr>
      <w:r>
        <w:rPr>
          <w:rFonts w:hint="eastAsia" w:ascii="宋体" w:hAnsi="宋体" w:cs="宋体"/>
          <w:color w:val="auto"/>
          <w:sz w:val="24"/>
          <w:highlight w:val="none"/>
        </w:rPr>
        <w:t>部门调研确认过程中需要根据各业务部门实际业务需求对初版《数据信息</w:t>
      </w:r>
      <w:r>
        <w:rPr>
          <w:rFonts w:hint="eastAsia"/>
          <w:color w:val="auto"/>
          <w:sz w:val="24"/>
          <w:highlight w:val="none"/>
        </w:rPr>
        <w:t>标准》进行补充和修订，</w:t>
      </w:r>
      <w:r>
        <w:rPr>
          <w:color w:val="auto"/>
          <w:sz w:val="24"/>
          <w:highlight w:val="none"/>
        </w:rPr>
        <w:t xml:space="preserve"> </w:t>
      </w:r>
      <w:r>
        <w:rPr>
          <w:rFonts w:hint="eastAsia"/>
          <w:color w:val="auto"/>
          <w:sz w:val="24"/>
          <w:highlight w:val="none"/>
        </w:rPr>
        <w:t>校级数据标准的确认即可引用部门已有业务系统使用的独有数据标准，也可根据部门实际业务需求对已有通用数据标准进行修订或补充新的数据标准，调研后输出终板《数据信息标准》在全校进行发布，要求各个部门执行落地。</w:t>
      </w:r>
    </w:p>
    <w:p>
      <w:pPr>
        <w:numPr>
          <w:ilvl w:val="0"/>
          <w:numId w:val="5"/>
        </w:numPr>
        <w:spacing w:line="360" w:lineRule="auto"/>
        <w:ind w:left="0" w:firstLine="480" w:firstLineChars="200"/>
        <w:jc w:val="left"/>
        <w:rPr>
          <w:color w:val="auto"/>
          <w:highlight w:val="none"/>
        </w:rPr>
      </w:pPr>
      <w:r>
        <w:rPr>
          <w:rFonts w:hint="eastAsia"/>
          <w:color w:val="auto"/>
          <w:sz w:val="24"/>
          <w:highlight w:val="none"/>
        </w:rPr>
        <w:t>承建方输出的终板《数据信息标准》要求具备完整性、兼容性、一致性及可扩展性，可保障哈尔滨工业大学一校三区各部门可共享使用一套标准数据而不出现数据描述歧义或业务管理冲突。</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（2）《哈尔滨工业大学数据信息标准》体系结构要求</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★元数据组成</w:t>
      </w:r>
    </w:p>
    <w:p>
      <w:pPr>
        <w:adjustRightInd w:val="0"/>
        <w:snapToGrid w:val="0"/>
        <w:spacing w:line="360" w:lineRule="auto"/>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）《哈尔滨工业大学</w:t>
      </w:r>
      <w:r>
        <w:rPr>
          <w:rFonts w:hint="eastAsia"/>
          <w:color w:val="auto"/>
          <w:sz w:val="24"/>
          <w:highlight w:val="none"/>
        </w:rPr>
        <w:t>数据信息标准</w:t>
      </w:r>
      <w:r>
        <w:rPr>
          <w:rFonts w:hint="eastAsia" w:ascii="宋体" w:hAnsi="宋体"/>
          <w:color w:val="auto"/>
          <w:sz w:val="24"/>
          <w:highlight w:val="none"/>
        </w:rPr>
        <w:t>》的元数据需要按照不同的管理领域划分为数据子集；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2）数据子集的分类方式和定义可参考引用JY/T</w:t>
      </w:r>
      <w:r>
        <w:rPr>
          <w:rFonts w:ascii="宋体" w:hAnsi="宋体"/>
          <w:color w:val="auto"/>
          <w:sz w:val="24"/>
          <w:highlight w:val="none"/>
        </w:rPr>
        <w:t>1006</w:t>
      </w:r>
      <w:r>
        <w:rPr>
          <w:rFonts w:hint="eastAsia" w:ascii="宋体" w:hAnsi="宋体"/>
          <w:color w:val="auto"/>
          <w:sz w:val="24"/>
          <w:highlight w:val="none"/>
        </w:rPr>
        <w:t>-</w:t>
      </w:r>
      <w:r>
        <w:rPr>
          <w:rFonts w:ascii="宋体" w:hAnsi="宋体"/>
          <w:color w:val="auto"/>
          <w:sz w:val="24"/>
          <w:highlight w:val="none"/>
        </w:rPr>
        <w:t>2012</w:t>
      </w:r>
      <w:r>
        <w:rPr>
          <w:rFonts w:hint="eastAsia" w:ascii="宋体" w:hAnsi="宋体"/>
          <w:color w:val="auto"/>
          <w:sz w:val="24"/>
          <w:highlight w:val="none"/>
        </w:rPr>
        <w:t>的分类和定义，根据哈尔滨工业大学情况进行必要的调整、扩充、优化。同时需新增哈尔滨工业大学特有的数据信息标准；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3）《哈尔滨工业大学数据信息标准》需引用《哈尔滨工业大学代码信息标准》中定义的标准代码。</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元数据结构需包含以下内容：</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1）编号：数据项的唯一标识，采用全局统一编码；</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2）数据项名：中文简称的汉语拼音首字母（大写）组成，与中文简称一一对应，并在实际数据结构中采用；</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3）中文简称：所用的数据元素的名称，具有语义，面向用户；</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4）类型：数据项容纳的数据类型；</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5）长度：数据项能容纳的最大字符数；</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6）约束：数据项约束状态的描述；</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7）值空间：数据项取值的范围与规范；</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8）解释/举例：数据项属性的说明或举例；</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9）引用编号：指明此数据项引用其他已定义数据项的编号。</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（3）参考和应用要求</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需参考和引用JY/T</w:t>
      </w:r>
      <w:r>
        <w:rPr>
          <w:rFonts w:ascii="宋体" w:hAnsi="宋体"/>
          <w:color w:val="auto"/>
          <w:sz w:val="24"/>
          <w:highlight w:val="none"/>
        </w:rPr>
        <w:t>1006</w:t>
      </w:r>
      <w:r>
        <w:rPr>
          <w:rFonts w:hint="eastAsia" w:ascii="宋体" w:hAnsi="宋体"/>
          <w:color w:val="auto"/>
          <w:sz w:val="24"/>
          <w:highlight w:val="none"/>
        </w:rPr>
        <w:t>-</w:t>
      </w:r>
      <w:r>
        <w:rPr>
          <w:rFonts w:ascii="宋体" w:hAnsi="宋体"/>
          <w:color w:val="auto"/>
          <w:sz w:val="24"/>
          <w:highlight w:val="none"/>
        </w:rPr>
        <w:t>2012</w:t>
      </w:r>
      <w:r>
        <w:rPr>
          <w:rFonts w:hint="eastAsia" w:ascii="宋体" w:hAnsi="宋体"/>
          <w:color w:val="auto"/>
          <w:sz w:val="24"/>
          <w:highlight w:val="none"/>
        </w:rPr>
        <w:t>的分类和定义包括：</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1）GXXX 学校概况数据子集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2）GXXS 学生管理数据子集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3）GXJX 教学管理数据子集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4）GXJG 教职工管理数据子集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5）GXKY 科研管理数据子集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6）GXCW 财务管理数据子集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7）GXZC 资产与设备管理数据子集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8）GXBG 办公管理数据子集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9）GXWS 外事管理数据子集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10）GXDA 档案管理数据子集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需参考和引用JY/T</w:t>
      </w:r>
      <w:r>
        <w:rPr>
          <w:rFonts w:ascii="宋体" w:hAnsi="宋体"/>
          <w:color w:val="auto"/>
          <w:sz w:val="24"/>
          <w:highlight w:val="none"/>
        </w:rPr>
        <w:t>1007</w:t>
      </w:r>
      <w:r>
        <w:rPr>
          <w:rFonts w:hint="eastAsia" w:ascii="宋体" w:hAnsi="宋体"/>
          <w:color w:val="auto"/>
          <w:sz w:val="24"/>
          <w:highlight w:val="none"/>
        </w:rPr>
        <w:t>-</w:t>
      </w:r>
      <w:r>
        <w:rPr>
          <w:rFonts w:ascii="宋体" w:hAnsi="宋体"/>
          <w:color w:val="auto"/>
          <w:sz w:val="24"/>
          <w:highlight w:val="none"/>
        </w:rPr>
        <w:t>2012</w:t>
      </w:r>
      <w:r>
        <w:rPr>
          <w:rFonts w:hint="eastAsia" w:ascii="宋体" w:hAnsi="宋体"/>
          <w:color w:val="auto"/>
          <w:sz w:val="24"/>
          <w:highlight w:val="none"/>
        </w:rPr>
        <w:t>的分类和定义包括：</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1）TJBB 统计报表管理数据子集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2）TJXX 学校（机构） 管理数据子集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3）TJXS 学生统计信息数据子集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4）TJJG 教职工统计信息数据子集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5）TJTJ 办学条件统计信息数据子集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★（4）编制输出的数标准集包括但不限于如下子集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1）本科生数据子集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2）研究生数据子集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3）教职工数据子集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4）科研数据子集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5）财务数据子集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6）资产数据子集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7）行政办公数据子集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8）党群数据子集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9）外事数据子集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10）校园生活数据子集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11）信息资源数据子集</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12）以及其他基于调研情况考虑新增的标准数据集。</w:t>
      </w:r>
    </w:p>
    <w:p>
      <w:pPr>
        <w:pStyle w:val="6"/>
        <w:jc w:val="left"/>
        <w:rPr>
          <w:color w:val="auto"/>
          <w:sz w:val="24"/>
          <w:szCs w:val="24"/>
          <w:highlight w:val="none"/>
        </w:rPr>
      </w:pPr>
      <w:bookmarkStart w:id="33" w:name="_Toc63440721"/>
      <w:r>
        <w:rPr>
          <w:rFonts w:hint="eastAsia"/>
          <w:color w:val="auto"/>
          <w:sz w:val="24"/>
          <w:szCs w:val="24"/>
          <w:highlight w:val="none"/>
        </w:rPr>
        <w:t>3.管理办法和管理规范集</w:t>
      </w:r>
      <w:bookmarkEnd w:id="33"/>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（1）编制并输出《哈尔滨工业大学信息化数据管理办法》</w:t>
      </w:r>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规定数据全生命周期涉及各环节相关部门、人员的管理权责边界，明确和规定数据生命周期各数据生产、加工环节参与方的权责和义务，分工协作进行数据管理工作。</w:t>
      </w:r>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（2）编制并输出《哈尔滨工业大学信息交换标准与管理规范》</w:t>
      </w:r>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规定数据在不同的信息实体之间进行交互的过程中，需要遵循的技术规范、格式规范、操作规范、管理规范等内容。</w:t>
      </w:r>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（3）编制并输出《哈尔滨工业大学主数据管理规范》</w:t>
      </w:r>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对哈尔滨工业大学各个信息系统之间需要共享的的重要数据的管理要求和操作规范。</w:t>
      </w:r>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（4）编制并输出《哈尔滨工业大学数据资产管理规范》</w:t>
      </w:r>
    </w:p>
    <w:p>
      <w:pPr>
        <w:adjustRightInd w:val="0"/>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规定哈尔滨工业大学关于规划、控制和提供数据集信息资产的各项业务职能的管理要求和操作规范，业务职能包括开发、执行和监督数据的计划、政策、方案、项目、流程、方法和程序等。</w:t>
      </w:r>
    </w:p>
    <w:p>
      <w:pPr>
        <w:pStyle w:val="5"/>
        <w:spacing w:line="360" w:lineRule="auto"/>
        <w:rPr>
          <w:color w:val="auto"/>
          <w:sz w:val="24"/>
          <w:szCs w:val="24"/>
          <w:highlight w:val="none"/>
        </w:rPr>
      </w:pPr>
      <w:bookmarkStart w:id="34" w:name="_Toc63440722"/>
      <w:r>
        <w:rPr>
          <w:rFonts w:hint="eastAsia"/>
          <w:color w:val="auto"/>
          <w:sz w:val="24"/>
          <w:szCs w:val="24"/>
          <w:highlight w:val="none"/>
        </w:rPr>
        <w:t>三、项目技术要求</w:t>
      </w:r>
      <w:bookmarkEnd w:id="34"/>
    </w:p>
    <w:p>
      <w:pPr>
        <w:pStyle w:val="6"/>
        <w:rPr>
          <w:color w:val="auto"/>
          <w:sz w:val="24"/>
          <w:szCs w:val="24"/>
          <w:highlight w:val="none"/>
          <w:lang w:val="sq-AL"/>
        </w:rPr>
      </w:pPr>
      <w:bookmarkStart w:id="35" w:name="_Toc63440723"/>
      <w:r>
        <w:rPr>
          <w:rFonts w:hint="eastAsia"/>
          <w:color w:val="auto"/>
          <w:sz w:val="24"/>
          <w:szCs w:val="24"/>
          <w:highlight w:val="none"/>
          <w:lang w:val="sq-AL"/>
        </w:rPr>
        <w:t>1、总体要求</w:t>
      </w:r>
      <w:bookmarkEnd w:id="35"/>
    </w:p>
    <w:p>
      <w:pPr>
        <w:numPr>
          <w:ilvl w:val="0"/>
          <w:numId w:val="6"/>
        </w:num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向上靠拢</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已有国家标准、部委标准的，采用国家和部委标准，不重复制定新标准。 </w:t>
      </w:r>
    </w:p>
    <w:p>
      <w:pPr>
        <w:numPr>
          <w:ilvl w:val="0"/>
          <w:numId w:val="6"/>
        </w:num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 xml:space="preserve">继承性  </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对已经发布的国家部委标准，应尽可能与其保持一致；兼顾各职能部门目前正在使用的代码及编码规则。</w:t>
      </w:r>
    </w:p>
    <w:p>
      <w:pPr>
        <w:numPr>
          <w:ilvl w:val="0"/>
          <w:numId w:val="6"/>
        </w:num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前瞻性</w:t>
      </w:r>
    </w:p>
    <w:p>
      <w:pPr>
        <w:adjustRightInd w:val="0"/>
        <w:snapToGrid w:val="0"/>
        <w:spacing w:line="360" w:lineRule="auto"/>
        <w:ind w:firstLine="480" w:firstLineChars="200"/>
        <w:rPr>
          <w:color w:val="auto"/>
          <w:highlight w:val="none"/>
        </w:rPr>
      </w:pPr>
      <w:r>
        <w:rPr>
          <w:rFonts w:hint="eastAsia" w:ascii="宋体" w:hAnsi="宋体"/>
          <w:color w:val="auto"/>
          <w:sz w:val="24"/>
          <w:highlight w:val="none"/>
        </w:rPr>
        <w:t>以现有系统为基础，着眼于长远发展需求，使本信息标准具有较长的生命周期服务类项目。</w:t>
      </w:r>
    </w:p>
    <w:p>
      <w:pPr>
        <w:pStyle w:val="6"/>
        <w:rPr>
          <w:color w:val="auto"/>
          <w:sz w:val="24"/>
          <w:szCs w:val="24"/>
          <w:highlight w:val="none"/>
          <w:lang w:val="sq-AL"/>
        </w:rPr>
      </w:pPr>
      <w:bookmarkStart w:id="36" w:name="_Toc63440724"/>
      <w:r>
        <w:rPr>
          <w:rFonts w:hint="eastAsia"/>
          <w:color w:val="auto"/>
          <w:sz w:val="24"/>
          <w:szCs w:val="24"/>
          <w:highlight w:val="none"/>
          <w:lang w:val="sq-AL"/>
        </w:rPr>
        <w:t>2、关键技术指标</w:t>
      </w:r>
      <w:bookmarkEnd w:id="36"/>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（1）标准的兼容性：该“标准”的实施对各职能部门信息系统建设、数据交换与共享，数据收集、分析、发布都有十分重要的意义，因此所采用的信息标准必须和国家标准、教育部等信息标准相兼容。</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（2）标准的唯一性：虽然一个编码对象可以有很多不同名称，也可以按各种不同方式对其进行描述；但是在一个分类编码标准中，每一编码对象只能有唯一的代码，一个代码只唯一表示一个编码对象。</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（3）标准的可扩性：随着信息化进程的发展，信息标准也必须是一个可以及时更新、不断充实的动态系统。</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（4）标准的规范性：在一个信息编码标准中，代码的结构、类型以及编写格式必须统一。</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（5）标准的适用性：代码要尽可能的反映分类对象的特点，便于应用。</w:t>
      </w:r>
    </w:p>
    <w:p>
      <w:pPr>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（6）标准的全面性：信息标准不仅包含国家、教育部级、哈尔滨工业大学本身的业务标准集，还要在业务标准的基础上构建数据仓库标准用以实现学校的业务优化和数据资产盘活。</w:t>
      </w:r>
    </w:p>
    <w:p>
      <w:pPr>
        <w:spacing w:line="360" w:lineRule="auto"/>
        <w:ind w:firstLine="482" w:firstLineChars="200"/>
        <w:rPr>
          <w:b/>
          <w:bCs/>
          <w:color w:val="auto"/>
          <w:highlight w:val="none"/>
        </w:rPr>
      </w:pPr>
      <w:r>
        <w:rPr>
          <w:rFonts w:hint="eastAsia"/>
          <w:b/>
          <w:bCs/>
          <w:color w:val="auto"/>
          <w:sz w:val="24"/>
          <w:highlight w:val="none"/>
        </w:rPr>
        <w:t>所有投标人均须提供投标产品满足的技术指标，并明确是否满足上述技术指标要求。</w:t>
      </w:r>
    </w:p>
    <w:p>
      <w:pPr>
        <w:pStyle w:val="6"/>
        <w:rPr>
          <w:color w:val="auto"/>
          <w:sz w:val="24"/>
          <w:szCs w:val="24"/>
          <w:highlight w:val="none"/>
        </w:rPr>
      </w:pPr>
      <w:bookmarkStart w:id="37" w:name="_Toc63440725"/>
      <w:r>
        <w:rPr>
          <w:rFonts w:hint="eastAsia"/>
          <w:color w:val="auto"/>
          <w:sz w:val="24"/>
          <w:szCs w:val="24"/>
          <w:highlight w:val="none"/>
        </w:rPr>
        <w:t>3、项目验收及质保期</w:t>
      </w:r>
      <w:bookmarkEnd w:id="3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（1）合同签订后</w:t>
      </w:r>
      <w:r>
        <w:rPr>
          <w:rFonts w:hint="eastAsia" w:ascii="宋体" w:hAnsi="宋体"/>
          <w:color w:val="auto"/>
          <w:sz w:val="24"/>
          <w:highlight w:val="none"/>
          <w:u w:val="single"/>
        </w:rPr>
        <w:t xml:space="preserve">  60  </w:t>
      </w:r>
      <w:r>
        <w:rPr>
          <w:rFonts w:hint="eastAsia" w:ascii="宋体" w:hAnsi="宋体"/>
          <w:color w:val="auto"/>
          <w:sz w:val="24"/>
          <w:highlight w:val="none"/>
        </w:rPr>
        <w:t>个工作日内交付所有功能并接受验收。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（2）项目的验收分为两个阶段，分别须达到如下要求：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一阶段验收即初验要求：</w:t>
      </w:r>
      <w:r>
        <w:rPr>
          <w:rFonts w:hint="eastAsia" w:ascii="宋体" w:hAnsi="宋体"/>
          <w:color w:val="auto"/>
          <w:sz w:val="24"/>
          <w:highlight w:val="none"/>
        </w:rPr>
        <w:t>交付校本部的</w:t>
      </w:r>
      <w:r>
        <w:rPr>
          <w:rFonts w:hint="eastAsia"/>
          <w:color w:val="auto"/>
          <w:sz w:val="24"/>
          <w:highlight w:val="none"/>
        </w:rPr>
        <w:t>《哈尔滨工业大学标准数据集》</w:t>
      </w:r>
      <w:r>
        <w:rPr>
          <w:rFonts w:hint="eastAsia" w:ascii="宋体" w:hAnsi="宋体"/>
          <w:color w:val="auto"/>
          <w:sz w:val="24"/>
          <w:highlight w:val="none"/>
        </w:rPr>
        <w:t>和</w:t>
      </w:r>
      <w:r>
        <w:rPr>
          <w:rFonts w:hint="eastAsia"/>
          <w:color w:val="auto"/>
          <w:sz w:val="24"/>
          <w:highlight w:val="none"/>
        </w:rPr>
        <w:t>《哈尔滨工业大学标准代码集》。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二阶段验收即终验要求：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1）交付适用一校三区的</w:t>
      </w:r>
      <w:r>
        <w:rPr>
          <w:rFonts w:hint="eastAsia"/>
          <w:color w:val="auto"/>
          <w:sz w:val="24"/>
          <w:highlight w:val="none"/>
        </w:rPr>
        <w:t>《哈尔滨工业大学标准数据集》</w:t>
      </w:r>
      <w:r>
        <w:rPr>
          <w:rFonts w:hint="eastAsia" w:ascii="宋体" w:hAnsi="宋体"/>
          <w:color w:val="auto"/>
          <w:sz w:val="24"/>
          <w:highlight w:val="none"/>
        </w:rPr>
        <w:t>和</w:t>
      </w:r>
      <w:r>
        <w:rPr>
          <w:rFonts w:hint="eastAsia"/>
          <w:color w:val="auto"/>
          <w:sz w:val="24"/>
          <w:highlight w:val="none"/>
        </w:rPr>
        <w:t>《哈尔滨工业大学标准代码集》。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2）交付一校三区的管理办法和管理规范集。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（3）项目免费质保周期为</w:t>
      </w:r>
      <w:r>
        <w:rPr>
          <w:rFonts w:hint="eastAsia" w:ascii="宋体" w:hAnsi="宋体"/>
          <w:color w:val="auto"/>
          <w:sz w:val="24"/>
          <w:highlight w:val="none"/>
          <w:u w:val="single"/>
        </w:rPr>
        <w:t xml:space="preserve">  </w:t>
      </w:r>
      <w:r>
        <w:rPr>
          <w:rFonts w:ascii="宋体" w:hAnsi="宋体"/>
          <w:color w:val="auto"/>
          <w:sz w:val="24"/>
          <w:highlight w:val="none"/>
          <w:u w:val="single"/>
        </w:rPr>
        <w:t>2</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所有投标人须按照上述要求分项应答，按照指定的日期和验收要求供货，并承诺质保周期。</w:t>
      </w:r>
    </w:p>
    <w:p>
      <w:pPr>
        <w:spacing w:line="360" w:lineRule="auto"/>
        <w:rPr>
          <w:rFonts w:ascii="宋体" w:hAnsi="宋体"/>
          <w:color w:val="auto"/>
          <w:sz w:val="24"/>
          <w:highlight w:val="none"/>
        </w:rPr>
      </w:pPr>
      <w:bookmarkStart w:id="38" w:name="_Toc63440726"/>
      <w:r>
        <w:rPr>
          <w:rFonts w:hint="eastAsia" w:ascii="宋体" w:hAnsi="宋体"/>
          <w:color w:val="auto"/>
          <w:sz w:val="24"/>
          <w:highlight w:val="none"/>
        </w:rPr>
        <w:t>4、付款方法和条件</w:t>
      </w:r>
      <w:bookmarkEnd w:id="3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本项目在签署合同后按照分期付款方式执行付款：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（1）签订正式合同后的7个工作日内，支付合同额的30%。</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（2）在一阶段验收节点即初验合格后的7个工作日内，支付合同额的2</w:t>
      </w:r>
      <w:r>
        <w:rPr>
          <w:rFonts w:ascii="宋体" w:hAnsi="宋体"/>
          <w:color w:val="auto"/>
          <w:sz w:val="24"/>
          <w:highlight w:val="none"/>
        </w:rPr>
        <w:t>5</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（3）在二阶段验收节点即终验合格后的7个工作日内，支付合同额的2</w:t>
      </w:r>
      <w:r>
        <w:rPr>
          <w:rFonts w:ascii="宋体" w:hAnsi="宋体"/>
          <w:color w:val="auto"/>
          <w:sz w:val="24"/>
          <w:highlight w:val="none"/>
        </w:rPr>
        <w:t>5</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（4）项目终验完成支付合同额的</w:t>
      </w:r>
      <w:r>
        <w:rPr>
          <w:rFonts w:ascii="宋体" w:hAnsi="宋体"/>
          <w:color w:val="auto"/>
          <w:sz w:val="24"/>
          <w:highlight w:val="none"/>
        </w:rPr>
        <w:t>1</w:t>
      </w:r>
      <w:r>
        <w:rPr>
          <w:rFonts w:hint="eastAsia" w:ascii="宋体" w:hAnsi="宋体"/>
          <w:color w:val="auto"/>
          <w:sz w:val="24"/>
          <w:highlight w:val="none"/>
        </w:rPr>
        <w:t>5%；</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（5）质保期满后7个工作日内，支付剩余款项，共计合同额的5%。</w:t>
      </w:r>
    </w:p>
    <w:p>
      <w:pPr>
        <w:pStyle w:val="6"/>
        <w:rPr>
          <w:color w:val="auto"/>
          <w:sz w:val="24"/>
          <w:szCs w:val="24"/>
          <w:highlight w:val="none"/>
        </w:rPr>
      </w:pPr>
      <w:bookmarkStart w:id="39" w:name="_Toc63440727"/>
      <w:r>
        <w:rPr>
          <w:rFonts w:hint="eastAsia"/>
          <w:color w:val="auto"/>
          <w:sz w:val="24"/>
          <w:szCs w:val="24"/>
          <w:highlight w:val="none"/>
        </w:rPr>
        <w:t>5、售后维护要求</w:t>
      </w:r>
      <w:bookmarkEnd w:id="39"/>
    </w:p>
    <w:p>
      <w:pPr>
        <w:spacing w:line="360" w:lineRule="auto"/>
        <w:ind w:firstLine="480" w:firstLineChars="200"/>
        <w:rPr>
          <w:color w:val="auto"/>
          <w:sz w:val="24"/>
          <w:highlight w:val="none"/>
        </w:rPr>
      </w:pPr>
      <w:r>
        <w:rPr>
          <w:rFonts w:hint="eastAsia"/>
          <w:color w:val="auto"/>
          <w:sz w:val="24"/>
          <w:highlight w:val="none"/>
        </w:rPr>
        <w:t>所有投标人须承诺在项目合同规定的服务期内对系统进行免费维护，包括但不限于系统故障修复、系统升级、数据迁移、补丁包安装、安全漏洞修复、系统间数据共享、系统间业务对接和系统问题咨询等。</w:t>
      </w:r>
    </w:p>
    <w:p>
      <w:pPr>
        <w:spacing w:line="360" w:lineRule="auto"/>
        <w:ind w:firstLine="480" w:firstLineChars="200"/>
        <w:rPr>
          <w:iCs/>
          <w:color w:val="auto"/>
          <w:sz w:val="24"/>
          <w:highlight w:val="none"/>
          <w:lang w:val="sq-AL"/>
        </w:rPr>
      </w:pPr>
      <w:r>
        <w:rPr>
          <w:rFonts w:hint="eastAsia"/>
          <w:iCs/>
          <w:color w:val="auto"/>
          <w:sz w:val="24"/>
          <w:highlight w:val="none"/>
        </w:rPr>
        <w:t>（1）</w:t>
      </w:r>
      <w:r>
        <w:rPr>
          <w:rFonts w:hint="eastAsia"/>
          <w:iCs/>
          <w:color w:val="auto"/>
          <w:sz w:val="24"/>
          <w:highlight w:val="none"/>
          <w:lang w:val="sq-AL"/>
        </w:rPr>
        <w:t>对项目使用培训的要求</w:t>
      </w:r>
    </w:p>
    <w:p>
      <w:pPr>
        <w:numPr>
          <w:ilvl w:val="0"/>
          <w:numId w:val="4"/>
        </w:numPr>
        <w:spacing w:line="360" w:lineRule="auto"/>
        <w:ind w:left="0" w:firstLine="480" w:firstLineChars="200"/>
        <w:rPr>
          <w:iCs/>
          <w:color w:val="auto"/>
          <w:sz w:val="24"/>
          <w:highlight w:val="none"/>
        </w:rPr>
      </w:pPr>
      <w:r>
        <w:rPr>
          <w:rFonts w:hint="eastAsia"/>
          <w:iCs/>
          <w:color w:val="auto"/>
          <w:sz w:val="24"/>
          <w:highlight w:val="none"/>
        </w:rPr>
        <w:t>供应商需根据用户需求不断改进系统功能和性能，并提供有效的二次开发培训。</w:t>
      </w:r>
    </w:p>
    <w:p>
      <w:pPr>
        <w:numPr>
          <w:ilvl w:val="0"/>
          <w:numId w:val="4"/>
        </w:numPr>
        <w:spacing w:line="360" w:lineRule="auto"/>
        <w:ind w:left="0" w:firstLine="480" w:firstLineChars="200"/>
        <w:rPr>
          <w:iCs/>
          <w:color w:val="auto"/>
          <w:sz w:val="24"/>
          <w:highlight w:val="none"/>
        </w:rPr>
      </w:pPr>
      <w:r>
        <w:rPr>
          <w:rFonts w:hint="eastAsia"/>
          <w:iCs/>
          <w:color w:val="auto"/>
          <w:sz w:val="24"/>
          <w:highlight w:val="none"/>
        </w:rPr>
        <w:t>应针对本项目的最终用户和系统运行维护用户提供分层次培训。需提供灵活多样的培训方式，包括最终用户的操作培训、对运行维护人员的技术培训等。</w:t>
      </w:r>
    </w:p>
    <w:p>
      <w:pPr>
        <w:numPr>
          <w:ilvl w:val="0"/>
          <w:numId w:val="4"/>
        </w:numPr>
        <w:spacing w:line="360" w:lineRule="auto"/>
        <w:ind w:left="0" w:firstLine="480" w:firstLineChars="200"/>
        <w:rPr>
          <w:iCs/>
          <w:color w:val="auto"/>
          <w:sz w:val="24"/>
          <w:highlight w:val="none"/>
        </w:rPr>
      </w:pPr>
      <w:r>
        <w:rPr>
          <w:rFonts w:hint="eastAsia"/>
          <w:iCs/>
          <w:color w:val="auto"/>
          <w:sz w:val="24"/>
          <w:highlight w:val="none"/>
        </w:rPr>
        <w:t>应制定详细的人员培训方案，培训方案应包括培训目的、培训时间安排、人员层次、人数、次数、培训课程（包括课程介绍）主要内容（列出培训基本内容）培训组织方式等。</w:t>
      </w:r>
    </w:p>
    <w:p>
      <w:pPr>
        <w:numPr>
          <w:ilvl w:val="0"/>
          <w:numId w:val="4"/>
        </w:numPr>
        <w:spacing w:line="360" w:lineRule="auto"/>
        <w:ind w:left="0" w:firstLine="480" w:firstLineChars="200"/>
        <w:rPr>
          <w:iCs/>
          <w:color w:val="auto"/>
          <w:sz w:val="24"/>
          <w:highlight w:val="none"/>
        </w:rPr>
      </w:pPr>
      <w:r>
        <w:rPr>
          <w:rFonts w:hint="eastAsia"/>
          <w:iCs/>
          <w:color w:val="auto"/>
          <w:sz w:val="24"/>
          <w:highlight w:val="none"/>
        </w:rPr>
        <w:t>对于提供的所有培训，必须保证师资力量，主要培训教员应是产品的主要设计和开发者。</w:t>
      </w:r>
    </w:p>
    <w:p>
      <w:pPr>
        <w:numPr>
          <w:ilvl w:val="0"/>
          <w:numId w:val="4"/>
        </w:numPr>
        <w:spacing w:line="360" w:lineRule="auto"/>
        <w:ind w:left="0" w:firstLine="480" w:firstLineChars="200"/>
        <w:rPr>
          <w:iCs/>
          <w:color w:val="auto"/>
          <w:sz w:val="24"/>
          <w:highlight w:val="none"/>
        </w:rPr>
      </w:pPr>
      <w:r>
        <w:rPr>
          <w:rFonts w:hint="eastAsia"/>
          <w:iCs/>
          <w:color w:val="auto"/>
          <w:sz w:val="24"/>
          <w:highlight w:val="none"/>
        </w:rPr>
        <w:t>培训的内容及方案应由双方协商制定。供应商前来进行技术培训的人员的费用包括在合同总价中。</w:t>
      </w:r>
    </w:p>
    <w:p>
      <w:pPr>
        <w:spacing w:line="360" w:lineRule="auto"/>
        <w:ind w:firstLine="482" w:firstLineChars="200"/>
        <w:rPr>
          <w:b/>
          <w:bCs/>
          <w:color w:val="auto"/>
          <w:sz w:val="24"/>
          <w:highlight w:val="none"/>
        </w:rPr>
      </w:pPr>
      <w:r>
        <w:rPr>
          <w:rFonts w:hint="eastAsia"/>
          <w:b/>
          <w:bCs/>
          <w:color w:val="auto"/>
          <w:sz w:val="24"/>
          <w:highlight w:val="none"/>
        </w:rPr>
        <w:t>所有投标人须按照上述要求分项应答，明确售后维护方案。</w:t>
      </w:r>
    </w:p>
    <w:p>
      <w:pPr>
        <w:pStyle w:val="5"/>
        <w:spacing w:line="360" w:lineRule="auto"/>
        <w:rPr>
          <w:color w:val="auto"/>
          <w:sz w:val="24"/>
          <w:szCs w:val="24"/>
          <w:highlight w:val="none"/>
        </w:rPr>
      </w:pPr>
      <w:bookmarkStart w:id="40" w:name="_Toc63440728"/>
      <w:r>
        <w:rPr>
          <w:rFonts w:hint="eastAsia"/>
          <w:color w:val="auto"/>
          <w:sz w:val="24"/>
          <w:szCs w:val="24"/>
          <w:highlight w:val="none"/>
        </w:rPr>
        <w:t>四、对相关文档和交付物的要求</w:t>
      </w:r>
      <w:bookmarkEnd w:id="40"/>
    </w:p>
    <w:p>
      <w:pPr>
        <w:spacing w:line="360" w:lineRule="auto"/>
        <w:ind w:firstLine="482" w:firstLineChars="200"/>
        <w:rPr>
          <w:color w:val="auto"/>
          <w:sz w:val="24"/>
          <w:highlight w:val="none"/>
        </w:rPr>
      </w:pPr>
      <w:r>
        <w:rPr>
          <w:rFonts w:hint="eastAsia"/>
          <w:b/>
          <w:bCs/>
          <w:color w:val="auto"/>
          <w:sz w:val="24"/>
          <w:highlight w:val="none"/>
        </w:rPr>
        <w:t>所有投标人须按照以下各小节的技术要求分项应答，明确具体的技术实施方案。如不予应答或未给出具体实施方案，则视为不满足招标要求。</w:t>
      </w:r>
    </w:p>
    <w:p>
      <w:pPr>
        <w:spacing w:line="360" w:lineRule="auto"/>
        <w:ind w:firstLine="480" w:firstLineChars="200"/>
        <w:rPr>
          <w:color w:val="auto"/>
          <w:sz w:val="24"/>
          <w:highlight w:val="none"/>
        </w:rPr>
      </w:pPr>
      <w:r>
        <w:rPr>
          <w:rFonts w:hint="eastAsia"/>
          <w:color w:val="auto"/>
          <w:sz w:val="24"/>
          <w:highlight w:val="none"/>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color w:val="auto"/>
          <w:sz w:val="24"/>
          <w:highlight w:val="none"/>
        </w:rPr>
      </w:pPr>
      <w:r>
        <w:rPr>
          <w:rFonts w:hint="eastAsia"/>
          <w:color w:val="auto"/>
          <w:sz w:val="24"/>
          <w:highlight w:val="none"/>
        </w:rPr>
        <w:t>本项目交付成果（参见项目建设内容）。</w:t>
      </w:r>
    </w:p>
    <w:p>
      <w:pPr>
        <w:spacing w:line="360" w:lineRule="auto"/>
        <w:ind w:firstLine="480" w:firstLineChars="200"/>
        <w:rPr>
          <w:color w:val="auto"/>
          <w:sz w:val="24"/>
          <w:highlight w:val="none"/>
        </w:rPr>
      </w:pPr>
      <w:r>
        <w:rPr>
          <w:rFonts w:hint="eastAsia"/>
          <w:color w:val="auto"/>
          <w:sz w:val="24"/>
          <w:highlight w:val="none"/>
        </w:rPr>
        <w:t>提供的文档资料包括：</w:t>
      </w:r>
    </w:p>
    <w:p>
      <w:pPr>
        <w:spacing w:line="360" w:lineRule="auto"/>
        <w:ind w:firstLine="480" w:firstLineChars="200"/>
        <w:rPr>
          <w:color w:val="auto"/>
          <w:sz w:val="24"/>
          <w:highlight w:val="none"/>
        </w:rPr>
      </w:pPr>
      <w:r>
        <w:rPr>
          <w:rFonts w:hint="eastAsia"/>
          <w:color w:val="auto"/>
          <w:sz w:val="24"/>
          <w:highlight w:val="none"/>
        </w:rPr>
        <w:t>（1）《项目实施计划》</w:t>
      </w:r>
    </w:p>
    <w:p>
      <w:pPr>
        <w:spacing w:line="360" w:lineRule="auto"/>
        <w:ind w:firstLine="480" w:firstLineChars="200"/>
        <w:rPr>
          <w:color w:val="auto"/>
          <w:sz w:val="24"/>
          <w:highlight w:val="none"/>
        </w:rPr>
      </w:pPr>
      <w:r>
        <w:rPr>
          <w:rFonts w:hint="eastAsia"/>
          <w:color w:val="auto"/>
          <w:sz w:val="24"/>
          <w:highlight w:val="none"/>
        </w:rPr>
        <w:t>（2）《项目实施计划变更协议》（如果有变更）</w:t>
      </w:r>
    </w:p>
    <w:p>
      <w:pPr>
        <w:spacing w:line="360" w:lineRule="auto"/>
        <w:ind w:firstLine="480" w:firstLineChars="200"/>
        <w:rPr>
          <w:color w:val="auto"/>
          <w:sz w:val="24"/>
          <w:highlight w:val="none"/>
        </w:rPr>
      </w:pPr>
      <w:r>
        <w:rPr>
          <w:rFonts w:hint="eastAsia"/>
          <w:color w:val="auto"/>
          <w:sz w:val="24"/>
          <w:highlight w:val="none"/>
        </w:rPr>
        <w:t>（3）《需求说明书》</w:t>
      </w:r>
    </w:p>
    <w:p>
      <w:pPr>
        <w:spacing w:line="360" w:lineRule="auto"/>
        <w:ind w:firstLine="480" w:firstLineChars="200"/>
        <w:rPr>
          <w:color w:val="auto"/>
          <w:sz w:val="24"/>
          <w:highlight w:val="none"/>
        </w:rPr>
      </w:pPr>
      <w:r>
        <w:rPr>
          <w:rFonts w:hint="eastAsia"/>
          <w:color w:val="auto"/>
          <w:sz w:val="24"/>
          <w:highlight w:val="none"/>
        </w:rPr>
        <w:t>（4）《需求变更协议》（如果有变更）</w:t>
      </w:r>
    </w:p>
    <w:p>
      <w:pPr>
        <w:spacing w:line="360" w:lineRule="auto"/>
        <w:ind w:firstLine="480" w:firstLineChars="200"/>
        <w:rPr>
          <w:color w:val="auto"/>
          <w:sz w:val="24"/>
          <w:highlight w:val="none"/>
        </w:rPr>
      </w:pPr>
      <w:r>
        <w:rPr>
          <w:rFonts w:hint="eastAsia"/>
          <w:color w:val="auto"/>
          <w:sz w:val="24"/>
          <w:highlight w:val="none"/>
        </w:rPr>
        <w:t>（5）《上线试运行确认单》</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）《用户手册》</w:t>
      </w:r>
    </w:p>
    <w:p>
      <w:pPr>
        <w:spacing w:line="360" w:lineRule="auto"/>
        <w:ind w:firstLine="480" w:firstLineChars="200"/>
        <w:rPr>
          <w:color w:val="auto"/>
          <w:sz w:val="24"/>
          <w:highlight w:val="none"/>
        </w:rPr>
      </w:pPr>
      <w:r>
        <w:rPr>
          <w:rFonts w:hint="eastAsia"/>
          <w:color w:val="auto"/>
          <w:sz w:val="24"/>
          <w:highlight w:val="none"/>
        </w:rPr>
        <w:t>乙方按哈尔滨工业大学档案馆归档要求，完成项目归档工作。</w:t>
      </w:r>
    </w:p>
    <w:p>
      <w:pPr>
        <w:pStyle w:val="5"/>
        <w:spacing w:line="360" w:lineRule="auto"/>
        <w:rPr>
          <w:color w:val="auto"/>
          <w:sz w:val="24"/>
          <w:szCs w:val="24"/>
          <w:highlight w:val="none"/>
        </w:rPr>
      </w:pPr>
      <w:bookmarkStart w:id="41" w:name="_Toc63440729"/>
      <w:r>
        <w:rPr>
          <w:rFonts w:hint="eastAsia"/>
          <w:color w:val="auto"/>
          <w:sz w:val="24"/>
          <w:szCs w:val="24"/>
          <w:highlight w:val="none"/>
        </w:rPr>
        <w:t>五、技术情报和资料的保密要求</w:t>
      </w:r>
      <w:bookmarkEnd w:id="41"/>
    </w:p>
    <w:p>
      <w:pPr>
        <w:spacing w:line="360" w:lineRule="auto"/>
        <w:ind w:firstLine="480" w:firstLineChars="200"/>
        <w:rPr>
          <w:color w:val="auto"/>
          <w:sz w:val="24"/>
          <w:highlight w:val="none"/>
        </w:rPr>
      </w:pPr>
      <w:r>
        <w:rPr>
          <w:rFonts w:hint="eastAsia"/>
          <w:color w:val="auto"/>
          <w:sz w:val="24"/>
          <w:highlight w:val="none"/>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firstLineChars="200"/>
        <w:rPr>
          <w:rFonts w:hint="eastAsia"/>
          <w:color w:val="auto"/>
          <w:sz w:val="24"/>
          <w:highlight w:val="none"/>
        </w:rPr>
      </w:pPr>
      <w:r>
        <w:rPr>
          <w:rFonts w:hint="eastAsia"/>
          <w:color w:val="auto"/>
          <w:sz w:val="24"/>
          <w:highlight w:val="none"/>
        </w:rPr>
        <w:t>不论本合同是否变更、解除、终止，本条款长期有效。</w:t>
      </w:r>
    </w:p>
    <w:tbl>
      <w:tblPr>
        <w:tblStyle w:val="14"/>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29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98"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3290"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color w:val="auto"/>
                <w:szCs w:val="21"/>
                <w:highlight w:val="none"/>
              </w:rPr>
            </w:pPr>
            <w:r>
              <w:rPr>
                <w:rFonts w:hint="eastAsia" w:ascii="宋体" w:hAnsi="宋体"/>
                <w:b/>
                <w:color w:val="auto"/>
                <w:szCs w:val="21"/>
                <w:highlight w:val="none"/>
              </w:rPr>
              <w:t>标的名称</w:t>
            </w:r>
          </w:p>
        </w:tc>
        <w:tc>
          <w:tcPr>
            <w:tcW w:w="3555"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color w:val="auto"/>
                <w:szCs w:val="21"/>
                <w:highlight w:val="none"/>
              </w:rPr>
            </w:pPr>
            <w:r>
              <w:rPr>
                <w:rFonts w:hint="eastAsia" w:ascii="宋体" w:hAnsi="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98" w:type="dxa"/>
            <w:tcBorders>
              <w:left w:val="single" w:color="auto" w:sz="4" w:space="0"/>
              <w:right w:val="single" w:color="auto" w:sz="4" w:space="0"/>
            </w:tcBorders>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290"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领导驾驶舱系统</w:t>
            </w:r>
          </w:p>
        </w:tc>
        <w:tc>
          <w:tcPr>
            <w:tcW w:w="3555"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98" w:type="dxa"/>
            <w:tcBorders>
              <w:left w:val="single" w:color="auto" w:sz="4" w:space="0"/>
              <w:right w:val="single" w:color="auto" w:sz="4" w:space="0"/>
            </w:tcBorders>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290"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信息标准建设</w:t>
            </w:r>
          </w:p>
        </w:tc>
        <w:tc>
          <w:tcPr>
            <w:tcW w:w="3555"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98" w:type="dxa"/>
            <w:tcBorders>
              <w:left w:val="single" w:color="auto" w:sz="4" w:space="0"/>
              <w:bottom w:val="single" w:color="auto" w:sz="4" w:space="0"/>
              <w:right w:val="single" w:color="auto" w:sz="4" w:space="0"/>
            </w:tcBorders>
          </w:tcPr>
          <w:p>
            <w:pPr>
              <w:rPr>
                <w:rFonts w:ascii="宋体" w:hAnsi="宋体"/>
                <w:b/>
                <w:color w:val="auto"/>
                <w:szCs w:val="21"/>
                <w:highlight w:val="none"/>
              </w:rPr>
            </w:pPr>
            <w:r>
              <w:rPr>
                <w:rFonts w:hint="eastAsia"/>
                <w:color w:val="auto"/>
                <w:highlight w:val="none"/>
              </w:rPr>
              <w:t>★</w:t>
            </w:r>
            <w:r>
              <w:rPr>
                <w:rFonts w:hint="eastAsia"/>
                <w:b/>
                <w:color w:val="auto"/>
                <w:highlight w:val="none"/>
              </w:rPr>
              <w:t>信息以本表为准，未按本表要求投标或有缺项、缺量的供应商，投标将被拒绝。</w:t>
            </w:r>
          </w:p>
        </w:tc>
        <w:tc>
          <w:tcPr>
            <w:tcW w:w="3290" w:type="dxa"/>
            <w:tcBorders>
              <w:left w:val="single" w:color="auto" w:sz="4" w:space="0"/>
              <w:bottom w:val="single" w:color="auto" w:sz="4" w:space="0"/>
              <w:right w:val="single" w:color="auto" w:sz="4" w:space="0"/>
            </w:tcBorders>
            <w:vAlign w:val="center"/>
          </w:tcPr>
          <w:p>
            <w:pPr>
              <w:jc w:val="center"/>
              <w:rPr>
                <w:color w:val="auto"/>
                <w:highlight w:val="none"/>
              </w:rPr>
            </w:pPr>
          </w:p>
        </w:tc>
        <w:tc>
          <w:tcPr>
            <w:tcW w:w="3555" w:type="dxa"/>
            <w:tcBorders>
              <w:left w:val="single" w:color="auto" w:sz="4" w:space="0"/>
              <w:bottom w:val="single" w:color="auto" w:sz="4" w:space="0"/>
              <w:right w:val="single" w:color="auto" w:sz="4" w:space="0"/>
            </w:tcBorders>
            <w:vAlign w:val="center"/>
          </w:tcPr>
          <w:p>
            <w:pPr>
              <w:jc w:val="center"/>
              <w:rPr>
                <w:color w:val="auto"/>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2EAF80B"/>
    <w:multiLevelType w:val="multilevel"/>
    <w:tmpl w:val="12EAF80B"/>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decimal"/>
      <w:pStyle w:val="8"/>
      <w:suff w:val="nothing"/>
      <w:lvlText w:val="%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5DB384E"/>
    <w:multiLevelType w:val="singleLevel"/>
    <w:tmpl w:val="15DB384E"/>
    <w:lvl w:ilvl="0" w:tentative="0">
      <w:start w:val="1"/>
      <w:numFmt w:val="decimal"/>
      <w:suff w:val="nothing"/>
      <w:lvlText w:val="（%1）"/>
      <w:lvlJc w:val="left"/>
    </w:lvl>
  </w:abstractNum>
  <w:abstractNum w:abstractNumId="3">
    <w:nsid w:val="40E850DB"/>
    <w:multiLevelType w:val="multilevel"/>
    <w:tmpl w:val="40E850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BEC687B"/>
    <w:multiLevelType w:val="multilevel"/>
    <w:tmpl w:val="4BEC687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7C435DE"/>
    <w:multiLevelType w:val="multilevel"/>
    <w:tmpl w:val="57C435D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C6F50"/>
    <w:rsid w:val="58EA35D3"/>
    <w:rsid w:val="5D4F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5">
    <w:name w:val="heading 2"/>
    <w:basedOn w:val="1"/>
    <w:next w:val="1"/>
    <w:qFormat/>
    <w:uiPriority w:val="9"/>
    <w:pPr>
      <w:keepNext/>
      <w:keepLines/>
      <w:outlineLvl w:val="1"/>
    </w:pPr>
    <w:rPr>
      <w:rFonts w:ascii="Arial" w:hAnsi="Arial" w:eastAsia="黑体"/>
      <w:bCs/>
      <w:sz w:val="28"/>
      <w:szCs w:val="32"/>
    </w:rPr>
  </w:style>
  <w:style w:type="paragraph" w:styleId="6">
    <w:name w:val="heading 3"/>
    <w:basedOn w:val="1"/>
    <w:next w:val="1"/>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7">
    <w:name w:val="heading 4"/>
    <w:basedOn w:val="1"/>
    <w:next w:val="1"/>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8">
    <w:name w:val="heading 5"/>
    <w:basedOn w:val="9"/>
    <w:next w:val="10"/>
    <w:qFormat/>
    <w:uiPriority w:val="0"/>
    <w:pPr>
      <w:keepNext/>
      <w:keepLines/>
      <w:numPr>
        <w:ilvl w:val="4"/>
        <w:numId w:val="2"/>
      </w:numPr>
      <w:spacing w:before="280" w:after="290" w:line="372" w:lineRule="auto"/>
      <w:outlineLvl w:val="4"/>
    </w:pPr>
    <w:rPr>
      <w:rFonts w:ascii="Calibri" w:hAnsi="Calibri"/>
      <w:spacing w:val="0"/>
      <w:w w:val="100"/>
      <w:kern w:val="2"/>
      <w:sz w:val="28"/>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adjustRightInd w:val="0"/>
      <w:spacing w:line="360" w:lineRule="atLeast"/>
      <w:jc w:val="center"/>
      <w:textAlignment w:val="baseline"/>
    </w:pPr>
    <w:rPr>
      <w:kern w:val="0"/>
      <w:sz w:val="24"/>
      <w:szCs w:val="20"/>
    </w:rPr>
  </w:style>
  <w:style w:type="paragraph" w:customStyle="1" w:styleId="9">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styleId="10">
    <w:name w:val="Normal Indent"/>
    <w:basedOn w:val="1"/>
    <w:qFormat/>
    <w:uiPriority w:val="0"/>
    <w:pPr>
      <w:ind w:firstLine="420" w:firstLineChars="2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6">
    <w:name w:val="page number"/>
    <w:basedOn w:val="15"/>
    <w:qFormat/>
    <w:uiPriority w:val="0"/>
  </w:style>
  <w:style w:type="paragraph" w:customStyle="1" w:styleId="17">
    <w:name w:val="列出段落1"/>
    <w:qFormat/>
    <w:uiPriority w:val="0"/>
    <w:pPr>
      <w:ind w:firstLine="420" w:firstLineChars="200"/>
      <w:jc w:val="center"/>
    </w:pPr>
    <w:rPr>
      <w:rFonts w:ascii="Calibri" w:hAnsi="Calibri" w:eastAsia="宋体" w:cs="Times New Roman"/>
      <w:szCs w:val="22"/>
      <w:lang w:val="en-US" w:eastAsia="zh-CN" w:bidi="ar-SA"/>
    </w:rPr>
  </w:style>
  <w:style w:type="paragraph" w:customStyle="1" w:styleId="18">
    <w:name w:val="_Style 1"/>
    <w:basedOn w:val="1"/>
    <w:qFormat/>
    <w:uiPriority w:val="1"/>
    <w:pPr>
      <w:ind w:firstLine="420" w:firstLineChars="200"/>
    </w:pPr>
  </w:style>
  <w:style w:type="paragraph" w:customStyle="1" w:styleId="19">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标准文本"/>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2021-01-05T05:50:00Z</dcterms:created>
  <dc:creator>Administrator.PC-20151222GRIG</dc:creator>
  <cp:lastModifiedBy>邱实</cp:lastModifiedBy>
  <dcterms:modified xsi:type="dcterms:W3CDTF">2021-06-15T06:27:53Z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96C52BE531E747E8A21D545A379F7099</vt:lpwstr>
  </property>
</Properties>
</file>