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 w:ascii="Arial" w:hAnsi="Arial"/>
          <w:bCs/>
        </w:rPr>
      </w:pPr>
      <w:r>
        <w:rPr>
          <w:rFonts w:hint="eastAsia" w:ascii="Arial" w:hAnsi="Arial"/>
          <w:bCs/>
        </w:rPr>
        <w:t>一、设备总体要求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1、设备名称：谐波减速器综合性能测试系统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2、测试产品：同轴型谐波减速器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3、设备数量：1套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4、设备工作环境及基本参数：</w:t>
      </w:r>
    </w:p>
    <w:p>
      <w:pPr>
        <w:widowControl/>
        <w:numPr>
          <w:ilvl w:val="2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设备电源：三相AC 380（±10%）V  50Hz  10kVA</w:t>
      </w:r>
    </w:p>
    <w:p>
      <w:pPr>
        <w:widowControl/>
        <w:numPr>
          <w:ilvl w:val="2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气源、水源：无</w:t>
      </w:r>
    </w:p>
    <w:p>
      <w:pPr>
        <w:widowControl/>
        <w:numPr>
          <w:ilvl w:val="2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设备占地面积：不大于25㎡</w:t>
      </w:r>
    </w:p>
    <w:p>
      <w:pPr>
        <w:widowControl/>
        <w:numPr>
          <w:ilvl w:val="2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设备总质量：不超过5000kg</w:t>
      </w:r>
    </w:p>
    <w:p>
      <w:pPr>
        <w:widowControl/>
        <w:numPr>
          <w:ilvl w:val="2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平台台面参考高度：700mm</w:t>
      </w:r>
    </w:p>
    <w:p>
      <w:pPr>
        <w:widowControl/>
        <w:numPr>
          <w:ilvl w:val="2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标准地线：有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</w:t>
      </w:r>
      <w:bookmarkStart w:id="0" w:name="OLE_LINK1"/>
      <w:bookmarkStart w:id="1" w:name="OLE_LINK2"/>
      <w:r>
        <w:rPr>
          <w:rFonts w:hint="eastAsia" w:ascii="宋体" w:hAnsi="宋体" w:eastAsia="宋体" w:cs="宋体"/>
          <w:sz w:val="24"/>
          <w:szCs w:val="24"/>
        </w:rPr>
        <w:t>设计依据：</w:t>
      </w:r>
      <w:bookmarkEnd w:id="0"/>
      <w:bookmarkEnd w:id="1"/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GB/T 14118-1993《谐波传动减速器》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GB/T 30819-2014《机器人用谐波齿轮减速器》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GB/T 17421.2-2016《机床检验通则 第2部分：数控轴线的定位精度和重复定位精确的确定》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GB/T 37165-2018《机器人用精密摆线针轮减速器》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甲方技术要求</w:t>
      </w:r>
    </w:p>
    <w:p>
      <w:pPr>
        <w:tabs>
          <w:tab w:val="left" w:pos="8640"/>
        </w:tabs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6、设备操作界面有权限管理并进行程序切换、参数设置，设备可以按照用户要求通讯协议输出测试参数；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7、设备安全性：设备运行可靠、安全性高；特别是电气接线符合安全要求，所使用的线径大小合适，具有漏电保护、安全接地等装置（甲方提供相关标准）、以及意外情况紧急停机功能；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8、设备外观：美观、大方；对噪声较大部位有降噪措施（设备的旋转件加装安全防护罩等），设备外围距离1.5M≤80dB，（按国家安全生产标准，生产车间及作业场所）；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9、乙方在设计制造过程中发生工艺变更（方案、零部件），乙方应通知甲方并在实现设备功能的前提下双方协商；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10、设备的关键工位等在商业合同签订后乙方对方案进行验证，验证结果需满足甲方要求方可实施，甲方在预验收时进行现场验收确认；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11、设备具备量化检测指标可标校功能，设备交机时将对甲方人员进行设备使用方法及程序设置方法的培训；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12、设备需具备安全性，防伤害人体；（安全性：工作时具有安全防护功能）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13、设计时应避免信号干扰（主要为数据收集系统方面）；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14、系统软件主要功能：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14.1 被测件运转状态控制；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14.2 手动运转及自动运转功能；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14.3 温度、噪声、振动、转速、负荷、角度等测量和存贮功能；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14.4 运转状态的显示及测量数据的实时显示功能；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14.5 报警及紧急停车处理功能；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14.6 故障诊断，发出报警或自动停车，并对停车前后数据采集和保存功能；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14.7 控制值、测量值等的模拟输出功能及外部输入、输出信号功能；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14.8 运转测量数据的采集、记录及保存功能；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14.9 在计算机上对试验条件及运转程序（或运转模式）进行调入（文本格式）；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14.10在计算机上进行数据处理的功能(运转测量数据及人工输入数据)；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14.11可生成项目自选型综合测试报告。</w:t>
      </w:r>
    </w:p>
    <w:p>
      <w:pPr>
        <w:pStyle w:val="4"/>
        <w:spacing w:line="360" w:lineRule="auto"/>
        <w:rPr>
          <w:rFonts w:hint="eastAsia" w:ascii="Arial" w:hAnsi="Arial"/>
          <w:bCs/>
        </w:rPr>
      </w:pPr>
      <w:bookmarkStart w:id="2" w:name="_Toc21502"/>
      <w:r>
        <w:rPr>
          <w:rFonts w:hint="eastAsia" w:ascii="Arial" w:hAnsi="Arial"/>
          <w:bCs/>
        </w:rPr>
        <w:t>二、设备试验项目</w:t>
      </w:r>
      <w:bookmarkEnd w:id="2"/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角度传递误差/传动误差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回程误差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单向重复定位精度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背隙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滞后损失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刚度弹簧系数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空程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启/停转矩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空载摩擦转矩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反向转矩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效率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温升、振动、噪声试验（全程监控）。</w:t>
      </w:r>
    </w:p>
    <w:p>
      <w:pPr>
        <w:pStyle w:val="4"/>
        <w:spacing w:line="360" w:lineRule="auto"/>
        <w:rPr>
          <w:rFonts w:hint="eastAsia" w:ascii="Arial" w:hAnsi="Arial"/>
          <w:bCs/>
        </w:rPr>
      </w:pPr>
      <w:bookmarkStart w:id="3" w:name="_Toc10452"/>
      <w:r>
        <w:rPr>
          <w:rFonts w:hint="eastAsia" w:ascii="Arial" w:hAnsi="Arial"/>
          <w:bCs/>
        </w:rPr>
        <w:t>三、系统结构</w:t>
      </w:r>
      <w:bookmarkEnd w:id="3"/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综合台采用模块式组合结构，采用铸铁平台作为基座、Siemens驱动加载系统、kistler高精度双量程扭矩传感器、Renishaw的REXM系列高精度圆光栅，通过不同组合，完成试验项目。</w:t>
      </w:r>
    </w:p>
    <w:p>
      <w:pPr>
        <w:pStyle w:val="4"/>
        <w:spacing w:line="360" w:lineRule="auto"/>
        <w:rPr>
          <w:rFonts w:hint="eastAsia" w:ascii="Arial" w:hAnsi="Arial"/>
          <w:bCs/>
        </w:rPr>
      </w:pPr>
      <w:bookmarkStart w:id="4" w:name="_Toc12747"/>
      <w:r>
        <w:rPr>
          <w:rFonts w:hint="eastAsia" w:ascii="Arial" w:hAnsi="Arial"/>
          <w:bCs/>
        </w:rPr>
        <w:t>四、系统技术指标</w:t>
      </w:r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1、谐波测试系统测量精度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（1）★扭矩测量量程（双量程）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500N.m/50N.m（输出端）</w:t>
      </w:r>
      <w:r>
        <w:rPr>
          <w:rFonts w:hint="eastAsia" w:ascii="宋体" w:hAnsi="宋体" w:eastAsia="宋体" w:cs="宋体"/>
          <w:sz w:val="24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10N.m/1N.m（输入端）</w:t>
      </w:r>
      <w:r>
        <w:rPr>
          <w:rFonts w:hint="eastAsia" w:ascii="宋体" w:hAnsi="宋体" w:eastAsia="宋体" w:cs="宋体"/>
          <w:sz w:val="24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（2）★扭矩测量精度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第一量程：±0.1%F.S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第二量程：±0.2%F.S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扭矩测试重复性：±0.25%F.S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（3）★角度测试精度（双读数头模式）</w:t>
      </w:r>
    </w:p>
    <w:p>
      <w:pPr>
        <w:pStyle w:val="2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±1.5″（输入端）</w:t>
      </w:r>
    </w:p>
    <w:p>
      <w:pPr>
        <w:pStyle w:val="2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±1″（输出端）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（4）角度测试重复性：±3″</w:t>
      </w:r>
      <w:r>
        <w:rPr>
          <w:rFonts w:hint="eastAsia" w:ascii="宋体" w:hAnsi="宋体" w:eastAsia="宋体" w:cs="宋体"/>
          <w:sz w:val="24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（5）角度分辨率：±0.1″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（6）角度测量范围：0～360°</w:t>
      </w:r>
      <w:r>
        <w:rPr>
          <w:rFonts w:hint="eastAsia" w:ascii="宋体" w:hAnsi="宋体" w:eastAsia="宋体" w:cs="宋体"/>
          <w:sz w:val="24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（7）输入端额定驱动扭矩：13N.m（伺服驱动加载）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（8）输入端转速范围：0～8000r/min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（9）输出端静态加载转矩：500N.m（连续可调）</w:t>
      </w:r>
      <w:r>
        <w:rPr>
          <w:rFonts w:hint="eastAsia" w:ascii="宋体" w:hAnsi="宋体" w:eastAsia="宋体" w:cs="宋体"/>
          <w:sz w:val="24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（10）温度测量范围：0～200℃（磁吸接触式）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（11）温度测量精度：A级±（0.15+0.002|t|）℃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2、轴系加载测试系统测量精度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（1）扭矩测量量程（双量程）：500N.m/50N.m（输出端）</w:t>
      </w:r>
      <w:r>
        <w:rPr>
          <w:rFonts w:hint="eastAsia" w:ascii="宋体" w:hAnsi="宋体" w:eastAsia="宋体" w:cs="宋体"/>
          <w:sz w:val="24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（2）扭矩测量精度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第一量程：±0.1%F.S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第二量程：±0.2%F.S</w:t>
      </w:r>
      <w:r>
        <w:rPr>
          <w:rFonts w:hint="eastAsia" w:ascii="宋体" w:hAnsi="宋体" w:eastAsia="宋体" w:cs="宋体"/>
          <w:sz w:val="24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扭矩测试重复性：±0.25%F.S</w:t>
      </w:r>
      <w:r>
        <w:rPr>
          <w:rFonts w:hint="eastAsia" w:ascii="宋体" w:hAnsi="宋体" w:eastAsia="宋体" w:cs="宋体"/>
          <w:sz w:val="24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（3）角度测试精度（双读数头模式）：±1″（输出端）</w:t>
      </w:r>
      <w:r>
        <w:rPr>
          <w:rFonts w:hint="eastAsia" w:ascii="宋体" w:hAnsi="宋体" w:eastAsia="宋体" w:cs="宋体"/>
          <w:sz w:val="24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（4）角度测试重复性：±2″</w:t>
      </w:r>
      <w:r>
        <w:rPr>
          <w:rFonts w:hint="eastAsia" w:ascii="宋体" w:hAnsi="宋体" w:eastAsia="宋体" w:cs="宋体"/>
          <w:sz w:val="24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（5）角度分辨率：±0.1″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（6）角度测量范围：0~360°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（7）输出端转速范围：0~500r/min</w:t>
      </w:r>
      <w:r>
        <w:rPr>
          <w:rFonts w:hint="eastAsia" w:ascii="宋体" w:hAnsi="宋体" w:eastAsia="宋体" w:cs="宋体"/>
          <w:sz w:val="24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（8）输出端静态加载转矩：500N.m/100Nm（伺服驱动加载）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（9）动态加载精度：±0.3%F.S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3、机械精度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（1）输入输出端平移机构平行度</w:t>
      </w:r>
    </w:p>
    <w:p>
      <w:pPr>
        <w:pStyle w:val="2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0.008mm/200mm</w:t>
      </w:r>
    </w:p>
    <w:p>
      <w:pPr>
        <w:pStyle w:val="2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0.005mm/100mm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（2）主轴圆光栅安装位端面跳动：0.008mm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（3）圆光栅外圆跳动：0.01mm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（4）输入主轴与被测件支架同轴度、垂直度：0.015mm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（5）输出主轴与被测件支架同轴度、垂直度：0.015mm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4、系统功率：不小于4KW</w:t>
      </w:r>
    </w:p>
    <w:p>
      <w:pPr>
        <w:pStyle w:val="4"/>
        <w:spacing w:line="360" w:lineRule="auto"/>
        <w:rPr>
          <w:rFonts w:hint="eastAsia" w:ascii="Arial" w:hAnsi="Arial"/>
          <w:bCs/>
        </w:rPr>
      </w:pPr>
      <w:bookmarkStart w:id="5" w:name="_Toc15343"/>
      <w:r>
        <w:rPr>
          <w:rFonts w:hint="eastAsia" w:ascii="Arial" w:hAnsi="Arial"/>
          <w:bCs/>
        </w:rPr>
        <w:t>五、</w:t>
      </w:r>
      <w:bookmarkStart w:id="6" w:name="_Toc48128517"/>
      <w:bookmarkStart w:id="7" w:name="_Toc48210192"/>
      <w:bookmarkStart w:id="8" w:name="_Toc48128378"/>
      <w:r>
        <w:rPr>
          <w:rFonts w:hint="eastAsia" w:ascii="Arial" w:hAnsi="Arial"/>
          <w:bCs/>
        </w:rPr>
        <w:t>设备验收</w:t>
      </w:r>
      <w:bookmarkEnd w:id="5"/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设计图纸会签验收</w:t>
      </w:r>
    </w:p>
    <w:p>
      <w:pPr>
        <w:pStyle w:val="7"/>
        <w:spacing w:line="360" w:lineRule="auto"/>
        <w:rPr>
          <w:rFonts w:hint="eastAsia" w:ascii="宋体" w:hAnsi="宋体" w:eastAsia="宋体" w:cs="宋体"/>
          <w:bCs/>
          <w:dstrike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1.1乙方的外观图纸、工装及易损件详细设计方案需经过甲方审核并确认；</w:t>
      </w:r>
    </w:p>
    <w:p>
      <w:pPr>
        <w:pStyle w:val="7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1.2甲方只负责对乙方方案及图纸的审核，不对该方案承担设计责任；</w:t>
      </w:r>
    </w:p>
    <w:p>
      <w:pPr>
        <w:pStyle w:val="7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1.3设计方案及图纸审核方式以双方协商为准；</w:t>
      </w:r>
    </w:p>
    <w:p>
      <w:pPr>
        <w:pStyle w:val="7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1.4图纸审核周期为合同签订甲方提供被测件尺寸范围后30天内。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2、甲方现场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终验收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在甲方现场终验收时，需依据技术协议对设备的齐套性、功能性、关键件精度、台架机械指标以及综合指标进行预验收，若有必要，经甲方人员提出，双方协商一致后，可增加检验项目。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验收完毕，甲方出具验收报告。验收报告必须对设备当前情况进行客观评价，并有相关数据支持。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若设备配置、技术性能、工作精度等项目均符合技术协议，甲方做出验收合格结论；否则，原则上可判定该设备为不合格。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若需整改的，甲方列出整改项目和内容。乙方应在15天内完成整改，关闭不合格项。甲方再次复验合格，才标志着设备终验收完毕，进入保质期运行。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如因甲方原因造成货到后30天内无法安调验收，视为验收合格，设备调试完成后，若甲方无生产计划，超过一个月视为设备运行合格。</w:t>
      </w:r>
      <w:bookmarkEnd w:id="6"/>
      <w:bookmarkEnd w:id="7"/>
      <w:bookmarkEnd w:id="8"/>
    </w:p>
    <w:p>
      <w:pPr>
        <w:pStyle w:val="4"/>
        <w:spacing w:line="360" w:lineRule="auto"/>
        <w:rPr>
          <w:rFonts w:hint="eastAsia" w:ascii="Arial" w:hAnsi="Arial"/>
          <w:bCs/>
        </w:rPr>
      </w:pPr>
      <w:bookmarkStart w:id="9" w:name="_Toc15387"/>
      <w:r>
        <w:rPr>
          <w:rFonts w:hint="eastAsia" w:ascii="Arial" w:hAnsi="Arial"/>
          <w:bCs/>
        </w:rPr>
        <w:t>六、质量保证、培训服务及售后服务</w:t>
      </w:r>
      <w:bookmarkEnd w:id="9"/>
    </w:p>
    <w:p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1、质量保证细则：</w:t>
      </w:r>
    </w:p>
    <w:p>
      <w:pPr>
        <w:tabs>
          <w:tab w:val="left" w:pos="0"/>
        </w:tabs>
        <w:spacing w:line="360" w:lineRule="auto"/>
        <w:ind w:left="2" w:hanging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 乙方对设备自终验收合格之日起免费质量保修1年；</w:t>
      </w:r>
    </w:p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 乙方保证所有材料和零部件的质量、规格、品牌、产地与合同要求相符。</w:t>
      </w:r>
    </w:p>
    <w:p>
      <w:pPr>
        <w:tabs>
          <w:tab w:val="left" w:pos="0"/>
        </w:tabs>
        <w:spacing w:line="360" w:lineRule="auto"/>
        <w:ind w:left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 乙方在合同签订后向甲方提供正式外观图纸，工装、易损件图纸以供甲方技术认证，若制造过程中有技术改动，需甲乙双方签字确认后方可生效。乙方制造施工应严格执行图纸、技术文件和有关规定的要求。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2、培训服务细则：</w:t>
      </w:r>
    </w:p>
    <w:p>
      <w:pPr>
        <w:tabs>
          <w:tab w:val="left" w:pos="0"/>
        </w:tabs>
        <w:spacing w:line="360" w:lineRule="auto"/>
        <w:ind w:left="1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2.1 乙方提供各种设备的操作、保养、维修的文字教材。</w:t>
      </w:r>
    </w:p>
    <w:p>
      <w:pPr>
        <w:tabs>
          <w:tab w:val="left" w:pos="0"/>
        </w:tabs>
        <w:spacing w:line="360" w:lineRule="auto"/>
        <w:ind w:left="1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2.2 为了保证系统的良好运行，乙方负责对用户方进行免费技术培训，培训人员包括机械维修人员、电气维修人员、工程技术人员、设备操作人员、管理人员（指定性，不可随意变更），确保用户能独立、正确、调试和维护设备。</w:t>
      </w:r>
    </w:p>
    <w:p>
      <w:pPr>
        <w:tabs>
          <w:tab w:val="left" w:pos="0"/>
        </w:tabs>
        <w:spacing w:line="360" w:lineRule="auto"/>
        <w:ind w:left="1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2.3 培训内容包括：设备操作方法，编程方法。设备保修保养维护及调整方法、示范操作及注意事项、指导及监护操作人员进行实际操作和维护。</w:t>
      </w:r>
    </w:p>
    <w:p>
      <w:pPr>
        <w:tabs>
          <w:tab w:val="left" w:pos="0"/>
        </w:tabs>
        <w:spacing w:line="360" w:lineRule="auto"/>
        <w:ind w:left="1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2.4 人员培训：负责为用户培训操作、维修工作人员，免费提供培训教材。培训内容包括：熟悉测试设备原理，熟悉软件操作方法、参数修改方法。与技术人员一起完成设备的标定、调试，在技术人员的指导下操作设备，直至完全可以独立工作。自甲乙双方签订设备供应合同后，乙方在甲方工厂对工程师或操作员进行免费培训，人员不多于5人，每年不少于1批次。</w:t>
      </w:r>
    </w:p>
    <w:p>
      <w:pPr>
        <w:tabs>
          <w:tab w:val="left" w:pos="0"/>
        </w:tabs>
        <w:spacing w:line="360" w:lineRule="auto"/>
        <w:ind w:left="1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3、售后服务：</w:t>
      </w:r>
    </w:p>
    <w:p>
      <w:pPr>
        <w:tabs>
          <w:tab w:val="left" w:pos="0"/>
        </w:tabs>
        <w:spacing w:line="360" w:lineRule="auto"/>
        <w:ind w:left="1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3.1质保期内非操作原因出现设备故障，乙方保证在接到甲方通知2小时内响应,24小时内到达现场（若通过电话，邮件等无法解决）,并进行解决,其间发生的更换零部件费用、人工费、差旅费由乙方承担。</w:t>
      </w:r>
    </w:p>
    <w:p>
      <w:pPr>
        <w:tabs>
          <w:tab w:val="left" w:pos="0"/>
        </w:tabs>
        <w:spacing w:line="360" w:lineRule="auto"/>
        <w:ind w:left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3.3质保期内因操作原因出现设备故障，乙方保证在接到甲方通知2小时内响应48小时内到达现场（若通过电话，邮件等无法解决），并进行解决，其间发生的更换零部件费用、人工费、差旅费由双方协商解决。</w:t>
      </w:r>
    </w:p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3.4质保期外出现的设备故障，乙方保证在接到甲方通知2小时内响应,48小时内到达现场，并进行解决，其间发生的更换零部件费用、人工费、差旅费由甲方承担。</w:t>
      </w:r>
    </w:p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3.5</w:t>
      </w:r>
      <w:r>
        <w:rPr>
          <w:rFonts w:hint="eastAsia" w:ascii="宋体" w:hAnsi="宋体" w:eastAsia="宋体" w:cs="宋体"/>
          <w:sz w:val="24"/>
          <w:szCs w:val="24"/>
        </w:rPr>
        <w:t>在质量保证期满后，我公司继续为用户提供终生技术服务，所提供备品及备件只收取成本费。</w:t>
      </w:r>
    </w:p>
    <w:p>
      <w:pPr>
        <w:pStyle w:val="4"/>
        <w:spacing w:line="360" w:lineRule="auto"/>
        <w:rPr>
          <w:rFonts w:hint="eastAsia" w:ascii="Arial" w:hAnsi="Arial"/>
          <w:bCs/>
        </w:rPr>
      </w:pPr>
      <w:bookmarkStart w:id="10" w:name="_Toc30397"/>
      <w:r>
        <w:rPr>
          <w:rFonts w:hint="eastAsia" w:ascii="Arial" w:hAnsi="Arial"/>
          <w:bCs/>
        </w:rPr>
        <w:t>七、提供的资料及图纸</w:t>
      </w:r>
      <w:bookmarkEnd w:id="1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1、控制系统程序；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2、操作使用手册；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3、维护维修手册；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4、易损机械备件加工图及BOM单；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5、机械接口图、电气原理图；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6、验收检查项目表（双方确认的）。</w:t>
      </w:r>
    </w:p>
    <w:p>
      <w:pPr>
        <w:pStyle w:val="4"/>
        <w:spacing w:line="360" w:lineRule="auto"/>
        <w:rPr>
          <w:rFonts w:hint="eastAsia" w:ascii="Arial" w:hAnsi="Arial"/>
          <w:bCs/>
        </w:rPr>
      </w:pPr>
      <w:bookmarkStart w:id="11" w:name="_Toc4247"/>
      <w:r>
        <w:rPr>
          <w:rFonts w:hint="eastAsia" w:ascii="Arial" w:hAnsi="Arial"/>
          <w:bCs/>
        </w:rPr>
        <w:t>八、其它</w:t>
      </w:r>
      <w:bookmarkEnd w:id="11"/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1、乙方软件系统提供软件终生免费</w:t>
      </w:r>
      <w:bookmarkStart w:id="12" w:name="_GoBack"/>
      <w:bookmarkEnd w:id="12"/>
      <w:r>
        <w:rPr>
          <w:rFonts w:hint="eastAsia" w:ascii="宋体" w:hAnsi="宋体" w:eastAsia="宋体" w:cs="宋体"/>
          <w:b/>
          <w:bCs/>
          <w:sz w:val="24"/>
          <w:szCs w:val="24"/>
        </w:rPr>
        <w:t>升级服务；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2、乙方不得将甲方提供的图纸资料、各种样件、设计资料提供给第三方，并且有义务为甲方保守秘密。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3、完成验收后，乙方应将买方提供的图纸资料和设计资料、样件无保留地归还甲方。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4、乙方提供的设备为成熟可靠且有技术先进性的产品（案例、专利佐证）。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</w:t>
      </w:r>
      <w:r>
        <w:rPr>
          <w:rFonts w:hint="eastAsia" w:ascii="宋体" w:hAnsi="宋体" w:eastAsia="宋体" w:cs="宋体"/>
          <w:sz w:val="24"/>
          <w:highlight w:val="none"/>
        </w:rPr>
        <w:t>★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货期：合同生效后15天货到现场安装调试完毕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6、质保期：验收合格后3年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、预付50%，到货验收后再付50%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274" w:bottom="1440" w:left="127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5</w:t>
    </w:r>
    <w:r>
      <w:rPr>
        <w:rStyle w:val="1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1125"/>
        <w:tab w:val="clear" w:pos="4153"/>
        <w:tab w:val="clear" w:pos="8306"/>
      </w:tabs>
      <w:ind w:right="792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49D2F23"/>
    <w:multiLevelType w:val="multilevel"/>
    <w:tmpl w:val="049D2F23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13957A3D"/>
    <w:multiLevelType w:val="multilevel"/>
    <w:tmpl w:val="13957A3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580309D"/>
    <w:multiLevelType w:val="multilevel"/>
    <w:tmpl w:val="3580309D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53594FA7"/>
    <w:multiLevelType w:val="multilevel"/>
    <w:tmpl w:val="53594FA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6C677354"/>
    <w:multiLevelType w:val="multilevel"/>
    <w:tmpl w:val="6C677354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576"/>
    <w:rsid w:val="00093A50"/>
    <w:rsid w:val="00103E17"/>
    <w:rsid w:val="00225914"/>
    <w:rsid w:val="002A0322"/>
    <w:rsid w:val="0031015D"/>
    <w:rsid w:val="003D19C9"/>
    <w:rsid w:val="004379C3"/>
    <w:rsid w:val="00714CB5"/>
    <w:rsid w:val="00762F62"/>
    <w:rsid w:val="008147CD"/>
    <w:rsid w:val="00835E5A"/>
    <w:rsid w:val="00890D65"/>
    <w:rsid w:val="00A30CA3"/>
    <w:rsid w:val="00B97576"/>
    <w:rsid w:val="00CA3D98"/>
    <w:rsid w:val="00D54010"/>
    <w:rsid w:val="00D75BEB"/>
    <w:rsid w:val="014A40AC"/>
    <w:rsid w:val="0570401D"/>
    <w:rsid w:val="288E5E57"/>
    <w:rsid w:val="302260A0"/>
    <w:rsid w:val="4B945AA0"/>
    <w:rsid w:val="5E790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240" w:after="240"/>
      <w:ind w:left="100" w:leftChars="100" w:right="100" w:rightChars="10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4">
    <w:name w:val="heading 2"/>
    <w:basedOn w:val="1"/>
    <w:next w:val="1"/>
    <w:link w:val="18"/>
    <w:qFormat/>
    <w:uiPriority w:val="0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paragraph" w:styleId="5">
    <w:name w:val="heading 3"/>
    <w:basedOn w:val="1"/>
    <w:next w:val="1"/>
    <w:link w:val="19"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  <w:kern w:val="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pacing w:line="312" w:lineRule="atLeast"/>
      <w:ind w:left="719" w:leftChars="115" w:hanging="478" w:hangingChars="199"/>
      <w:textAlignment w:val="baseline"/>
    </w:pPr>
    <w:rPr>
      <w:rFonts w:ascii="黑体" w:eastAsia="黑体"/>
      <w:kern w:val="0"/>
      <w:sz w:val="24"/>
      <w:szCs w:val="20"/>
    </w:rPr>
  </w:style>
  <w:style w:type="paragraph" w:styleId="6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7">
    <w:name w:val="Plain Text"/>
    <w:basedOn w:val="1"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页眉 Char"/>
    <w:basedOn w:val="12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9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3"/>
    <w:qFormat/>
    <w:uiPriority w:val="0"/>
    <w:rPr>
      <w:rFonts w:ascii="Times New Roman" w:hAnsi="Times New Roman" w:eastAsia="黑体" w:cs="Times New Roman"/>
      <w:bCs/>
      <w:kern w:val="44"/>
      <w:sz w:val="44"/>
      <w:szCs w:val="44"/>
    </w:rPr>
  </w:style>
  <w:style w:type="character" w:customStyle="1" w:styleId="18">
    <w:name w:val="标题 2 Char"/>
    <w:basedOn w:val="12"/>
    <w:link w:val="4"/>
    <w:qFormat/>
    <w:uiPriority w:val="0"/>
    <w:rPr>
      <w:rFonts w:ascii="Arial" w:hAnsi="Arial" w:eastAsia="黑体" w:cs="Times New Roman"/>
      <w:bCs/>
      <w:sz w:val="28"/>
      <w:szCs w:val="32"/>
    </w:rPr>
  </w:style>
  <w:style w:type="character" w:customStyle="1" w:styleId="19">
    <w:name w:val="标题 3 Char"/>
    <w:basedOn w:val="12"/>
    <w:link w:val="5"/>
    <w:qFormat/>
    <w:uiPriority w:val="0"/>
    <w:rPr>
      <w:rFonts w:ascii="宋体" w:hAnsi="Times New Roman" w:eastAsia="宋体" w:cs="宋体"/>
      <w:kern w:val="0"/>
      <w:szCs w:val="20"/>
    </w:rPr>
  </w:style>
  <w:style w:type="character" w:customStyle="1" w:styleId="20">
    <w:name w:val="批注框文本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列出段落 Char"/>
    <w:link w:val="22"/>
    <w:qFormat/>
    <w:uiPriority w:val="34"/>
    <w:rPr>
      <w:rFonts w:ascii="Calibri" w:hAnsi="Calibri"/>
    </w:rPr>
  </w:style>
  <w:style w:type="paragraph" w:styleId="22">
    <w:name w:val="List Paragraph"/>
    <w:basedOn w:val="1"/>
    <w:link w:val="21"/>
    <w:qFormat/>
    <w:uiPriority w:val="34"/>
    <w:pPr>
      <w:ind w:firstLine="420" w:firstLineChars="200"/>
    </w:pPr>
    <w:rPr>
      <w:rFonts w:ascii="Calibri" w:hAnsi="Calibr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588</Words>
  <Characters>3354</Characters>
  <Lines>27</Lines>
  <Paragraphs>7</Paragraphs>
  <TotalTime>0</TotalTime>
  <ScaleCrop>false</ScaleCrop>
  <LinksUpToDate>false</LinksUpToDate>
  <CharactersWithSpaces>3935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2019-04-22T06:58:00Z</dcterms:created>
  <dc:creator>微软用户</dc:creator>
  <cp:lastModifiedBy>邱实</cp:lastModifiedBy>
  <dcterms:modified xsi:type="dcterms:W3CDTF">2020-04-29T06:59:11Z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